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6663FAA2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6bis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17765C">
        <w:rPr>
          <w:rFonts w:ascii="Arial" w:eastAsia="MS Mincho" w:hAnsi="Arial"/>
          <w:b/>
          <w:sz w:val="24"/>
          <w:szCs w:val="24"/>
          <w:lang w:val="en-GB" w:eastAsia="x-none"/>
        </w:rPr>
        <w:t>1463</w:t>
      </w:r>
    </w:p>
    <w:p w14:paraId="6F9F5433" w14:textId="0B414269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January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January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5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77141C3F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6F3472">
        <w:rPr>
          <w:rFonts w:ascii="Arial" w:hAnsi="Arial" w:cs="Arial"/>
          <w:b/>
          <w:bCs/>
          <w:sz w:val="24"/>
          <w:szCs w:val="20"/>
        </w:rPr>
        <w:t>9.2.1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2E496A13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2333B5" w:rsidRPr="002333B5">
        <w:rPr>
          <w:rFonts w:ascii="Arial" w:hAnsi="Arial" w:cs="Arial"/>
          <w:b/>
          <w:bCs/>
          <w:sz w:val="24"/>
          <w:szCs w:val="20"/>
        </w:rPr>
        <w:t xml:space="preserve">On </w:t>
      </w:r>
      <w:r w:rsidR="00FB1BE3">
        <w:rPr>
          <w:rFonts w:ascii="Arial" w:hAnsi="Arial" w:cs="Arial"/>
          <w:b/>
          <w:bCs/>
          <w:sz w:val="24"/>
          <w:szCs w:val="20"/>
        </w:rPr>
        <w:t>network control over the use of PEI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56EF60E7" w14:textId="3DBE858D" w:rsidR="00427C2C" w:rsidRDefault="00814DAC" w:rsidP="00427C2C">
      <w:pPr>
        <w:rPr>
          <w:sz w:val="20"/>
          <w:szCs w:val="20"/>
        </w:rPr>
      </w:pPr>
      <w:r>
        <w:rPr>
          <w:sz w:val="20"/>
          <w:szCs w:val="20"/>
        </w:rPr>
        <w:t>Using</w:t>
      </w:r>
      <w:r w:rsidR="001117A9">
        <w:rPr>
          <w:sz w:val="20"/>
          <w:szCs w:val="20"/>
        </w:rPr>
        <w:t xml:space="preserve"> PEI with UE subgrouping </w:t>
      </w:r>
      <w:r>
        <w:rPr>
          <w:sz w:val="20"/>
          <w:szCs w:val="20"/>
        </w:rPr>
        <w:t xml:space="preserve">in paging </w:t>
      </w:r>
      <w:r w:rsidR="001117A9">
        <w:rPr>
          <w:sz w:val="20"/>
          <w:szCs w:val="20"/>
        </w:rPr>
        <w:t xml:space="preserve">has been introduced in Rel-17 </w:t>
      </w:r>
      <w:r w:rsidR="00CA3BBB">
        <w:rPr>
          <w:sz w:val="20"/>
          <w:szCs w:val="20"/>
        </w:rPr>
        <w:t>to save power for</w:t>
      </w:r>
      <w:r w:rsidR="001117A9">
        <w:rPr>
          <w:sz w:val="20"/>
          <w:szCs w:val="20"/>
        </w:rPr>
        <w:t xml:space="preserve"> </w:t>
      </w:r>
      <w:r w:rsidR="00427C2C">
        <w:rPr>
          <w:sz w:val="20"/>
          <w:szCs w:val="20"/>
        </w:rPr>
        <w:t>UE</w:t>
      </w:r>
      <w:r w:rsidR="00CA3BBB">
        <w:rPr>
          <w:sz w:val="20"/>
          <w:szCs w:val="20"/>
        </w:rPr>
        <w:t>s in RRC_IDLE or RRC_INACTIVE state</w:t>
      </w:r>
      <w:r>
        <w:rPr>
          <w:sz w:val="20"/>
          <w:szCs w:val="20"/>
        </w:rPr>
        <w:t xml:space="preserve"> </w:t>
      </w:r>
      <w:r w:rsidR="004E6CE6" w:rsidRPr="00AC4A00">
        <w:rPr>
          <w:sz w:val="20"/>
          <w:szCs w:val="20"/>
        </w:rPr>
        <w:t>[1]</w:t>
      </w:r>
      <w:r w:rsidR="001117A9">
        <w:rPr>
          <w:sz w:val="20"/>
          <w:szCs w:val="20"/>
        </w:rPr>
        <w:t xml:space="preserve">. </w:t>
      </w:r>
      <w:r w:rsidR="00427C2C">
        <w:rPr>
          <w:sz w:val="20"/>
          <w:szCs w:val="20"/>
        </w:rPr>
        <w:t>However, the</w:t>
      </w:r>
      <w:r>
        <w:rPr>
          <w:sz w:val="20"/>
          <w:szCs w:val="20"/>
        </w:rPr>
        <w:t xml:space="preserve"> </w:t>
      </w:r>
      <w:r w:rsidR="00427C2C">
        <w:rPr>
          <w:sz w:val="20"/>
          <w:szCs w:val="20"/>
        </w:rPr>
        <w:t>p</w:t>
      </w:r>
      <w:r w:rsidR="00427C2C" w:rsidRPr="00EA7B16">
        <w:rPr>
          <w:sz w:val="20"/>
          <w:szCs w:val="20"/>
        </w:rPr>
        <w:t xml:space="preserve">ower saving </w:t>
      </w:r>
      <w:r w:rsidR="00427C2C">
        <w:rPr>
          <w:sz w:val="20"/>
          <w:szCs w:val="20"/>
        </w:rPr>
        <w:t xml:space="preserve">gain </w:t>
      </w:r>
      <w:r w:rsidR="00CA3BBB">
        <w:rPr>
          <w:sz w:val="20"/>
          <w:szCs w:val="20"/>
        </w:rPr>
        <w:t xml:space="preserve">may </w:t>
      </w:r>
      <w:r w:rsidR="00427C2C" w:rsidRPr="00EA7B16">
        <w:rPr>
          <w:sz w:val="20"/>
          <w:szCs w:val="20"/>
        </w:rPr>
        <w:t xml:space="preserve">come </w:t>
      </w:r>
      <w:r>
        <w:rPr>
          <w:sz w:val="20"/>
          <w:szCs w:val="20"/>
        </w:rPr>
        <w:t>at</w:t>
      </w:r>
      <w:r w:rsidR="00427C2C" w:rsidRPr="00EA7B16">
        <w:rPr>
          <w:sz w:val="20"/>
          <w:szCs w:val="20"/>
        </w:rPr>
        <w:t xml:space="preserve"> a price of </w:t>
      </w:r>
      <w:r w:rsidR="00427C2C">
        <w:rPr>
          <w:sz w:val="20"/>
          <w:szCs w:val="20"/>
        </w:rPr>
        <w:t xml:space="preserve">increased </w:t>
      </w:r>
      <w:r w:rsidR="00427C2C" w:rsidRPr="00EA7B16">
        <w:rPr>
          <w:sz w:val="20"/>
          <w:szCs w:val="20"/>
        </w:rPr>
        <w:t xml:space="preserve">paging </w:t>
      </w:r>
      <w:r w:rsidR="00427C2C">
        <w:rPr>
          <w:sz w:val="20"/>
          <w:szCs w:val="20"/>
        </w:rPr>
        <w:t xml:space="preserve">queuing </w:t>
      </w:r>
      <w:r w:rsidR="001D1851">
        <w:rPr>
          <w:sz w:val="20"/>
          <w:szCs w:val="20"/>
        </w:rPr>
        <w:t>delay</w:t>
      </w:r>
      <w:r w:rsidR="00427C2C" w:rsidRPr="00EA7B16">
        <w:rPr>
          <w:sz w:val="20"/>
          <w:szCs w:val="20"/>
        </w:rPr>
        <w:t>.</w:t>
      </w:r>
    </w:p>
    <w:p w14:paraId="5188FFB7" w14:textId="4034D65A" w:rsidR="00785852" w:rsidRPr="00EE3783" w:rsidRDefault="00785852" w:rsidP="00785852">
      <w:pPr>
        <w:jc w:val="left"/>
        <w:rPr>
          <w:sz w:val="20"/>
          <w:szCs w:val="20"/>
        </w:rPr>
      </w:pPr>
      <w:r w:rsidRPr="00EE3783">
        <w:rPr>
          <w:sz w:val="20"/>
          <w:szCs w:val="20"/>
        </w:rPr>
        <w:t xml:space="preserve">In this contribution, </w:t>
      </w:r>
      <w:r w:rsidR="0035629F" w:rsidRPr="0035629F">
        <w:rPr>
          <w:sz w:val="20"/>
          <w:szCs w:val="20"/>
        </w:rPr>
        <w:t xml:space="preserve">we </w:t>
      </w:r>
      <w:r w:rsidR="004E6CE6">
        <w:rPr>
          <w:sz w:val="20"/>
          <w:szCs w:val="20"/>
        </w:rPr>
        <w:t xml:space="preserve">discuss </w:t>
      </w:r>
      <w:r w:rsidR="005D07B5">
        <w:rPr>
          <w:sz w:val="20"/>
          <w:szCs w:val="20"/>
        </w:rPr>
        <w:t>the issue of</w:t>
      </w:r>
      <w:r w:rsidR="00427C2C">
        <w:rPr>
          <w:sz w:val="20"/>
          <w:szCs w:val="20"/>
        </w:rPr>
        <w:t xml:space="preserve"> increased </w:t>
      </w:r>
      <w:r w:rsidR="00427C2C" w:rsidRPr="00EA7B16">
        <w:rPr>
          <w:sz w:val="20"/>
          <w:szCs w:val="20"/>
        </w:rPr>
        <w:t xml:space="preserve">paging </w:t>
      </w:r>
      <w:r w:rsidR="00427C2C">
        <w:rPr>
          <w:sz w:val="20"/>
          <w:szCs w:val="20"/>
        </w:rPr>
        <w:t xml:space="preserve">queuing </w:t>
      </w:r>
      <w:r w:rsidR="001D1851">
        <w:rPr>
          <w:sz w:val="20"/>
          <w:szCs w:val="20"/>
        </w:rPr>
        <w:t>delay</w:t>
      </w:r>
      <w:r w:rsidR="00427C2C">
        <w:rPr>
          <w:sz w:val="20"/>
          <w:szCs w:val="20"/>
        </w:rPr>
        <w:t xml:space="preserve"> </w:t>
      </w:r>
      <w:r w:rsidR="00814DAC">
        <w:rPr>
          <w:sz w:val="20"/>
          <w:szCs w:val="20"/>
        </w:rPr>
        <w:t>due to</w:t>
      </w:r>
      <w:r w:rsidR="00427C2C">
        <w:rPr>
          <w:sz w:val="20"/>
          <w:szCs w:val="20"/>
        </w:rPr>
        <w:t xml:space="preserve"> the use of PEI and propose </w:t>
      </w:r>
      <w:r w:rsidR="00CA3BBB">
        <w:rPr>
          <w:sz w:val="20"/>
          <w:szCs w:val="20"/>
        </w:rPr>
        <w:t>a solution</w:t>
      </w:r>
      <w:r w:rsidR="00427C2C">
        <w:rPr>
          <w:sz w:val="20"/>
          <w:szCs w:val="20"/>
        </w:rPr>
        <w:t xml:space="preserve"> allow</w:t>
      </w:r>
      <w:r w:rsidR="00CA3BBB">
        <w:rPr>
          <w:sz w:val="20"/>
          <w:szCs w:val="20"/>
        </w:rPr>
        <w:t>ing</w:t>
      </w:r>
      <w:r w:rsidR="00427C2C">
        <w:rPr>
          <w:sz w:val="20"/>
          <w:szCs w:val="20"/>
        </w:rPr>
        <w:t xml:space="preserve"> the network to </w:t>
      </w:r>
      <w:r w:rsidR="00814DAC">
        <w:rPr>
          <w:sz w:val="20"/>
          <w:szCs w:val="20"/>
        </w:rPr>
        <w:t xml:space="preserve">control (i.e., </w:t>
      </w:r>
      <w:r w:rsidR="00427C2C">
        <w:rPr>
          <w:sz w:val="20"/>
          <w:szCs w:val="20"/>
        </w:rPr>
        <w:t>enable or disable</w:t>
      </w:r>
      <w:r w:rsidR="00814DAC">
        <w:rPr>
          <w:sz w:val="20"/>
          <w:szCs w:val="20"/>
        </w:rPr>
        <w:t>)</w:t>
      </w:r>
      <w:r w:rsidR="00427C2C">
        <w:rPr>
          <w:sz w:val="20"/>
          <w:szCs w:val="20"/>
        </w:rPr>
        <w:t xml:space="preserve"> the use of PEI on an individual UE’s basis.  </w:t>
      </w:r>
      <w:r w:rsidR="005D07B5">
        <w:rPr>
          <w:sz w:val="20"/>
          <w:szCs w:val="20"/>
        </w:rPr>
        <w:t xml:space="preserve"> </w:t>
      </w:r>
      <w:r w:rsidR="004E6CE6">
        <w:rPr>
          <w:sz w:val="20"/>
          <w:szCs w:val="20"/>
        </w:rPr>
        <w:t xml:space="preserve"> </w:t>
      </w:r>
    </w:p>
    <w:p w14:paraId="16483CD3" w14:textId="50F24E8F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29DA84FC" w14:textId="3200E65B" w:rsidR="003876F8" w:rsidRDefault="00300D11" w:rsidP="00300D11">
      <w:pPr>
        <w:pStyle w:val="Heading2"/>
        <w:rPr>
          <w:szCs w:val="24"/>
        </w:rPr>
      </w:pPr>
      <w:r w:rsidRPr="00C81691">
        <w:rPr>
          <w:szCs w:val="24"/>
        </w:rPr>
        <w:t>Issue</w:t>
      </w:r>
      <w:r w:rsidR="00427C2C">
        <w:rPr>
          <w:szCs w:val="24"/>
        </w:rPr>
        <w:t xml:space="preserve"> of increased paging queuing </w:t>
      </w:r>
      <w:r w:rsidR="001D1851">
        <w:rPr>
          <w:szCs w:val="24"/>
        </w:rPr>
        <w:t>delay</w:t>
      </w:r>
    </w:p>
    <w:p w14:paraId="3F899CEA" w14:textId="4969FA3F" w:rsidR="00D96F71" w:rsidRDefault="00427C2C" w:rsidP="003876F8">
      <w:pPr>
        <w:rPr>
          <w:sz w:val="20"/>
          <w:szCs w:val="20"/>
        </w:rPr>
      </w:pPr>
      <w:r w:rsidRPr="00427C2C">
        <w:rPr>
          <w:sz w:val="20"/>
          <w:szCs w:val="20"/>
        </w:rPr>
        <w:t>With PEI,</w:t>
      </w:r>
      <w:r w:rsidR="00CA3BBB">
        <w:rPr>
          <w:sz w:val="20"/>
          <w:szCs w:val="20"/>
        </w:rPr>
        <w:t xml:space="preserve"> </w:t>
      </w:r>
      <w:r w:rsidRPr="00427C2C">
        <w:rPr>
          <w:sz w:val="20"/>
          <w:szCs w:val="20"/>
        </w:rPr>
        <w:t xml:space="preserve">a paging message for a UE </w:t>
      </w:r>
      <w:r w:rsidR="00CA3BBB">
        <w:rPr>
          <w:sz w:val="20"/>
          <w:szCs w:val="20"/>
        </w:rPr>
        <w:t xml:space="preserve">may </w:t>
      </w:r>
      <w:r w:rsidRPr="00427C2C">
        <w:rPr>
          <w:sz w:val="20"/>
          <w:szCs w:val="20"/>
        </w:rPr>
        <w:t xml:space="preserve">arrive at </w:t>
      </w:r>
      <w:r w:rsidR="00D96F71">
        <w:rPr>
          <w:sz w:val="20"/>
          <w:szCs w:val="20"/>
        </w:rPr>
        <w:t>(</w:t>
      </w:r>
      <w:r w:rsidRPr="00427C2C">
        <w:rPr>
          <w:sz w:val="20"/>
          <w:szCs w:val="20"/>
        </w:rPr>
        <w:t>or is generated by</w:t>
      </w:r>
      <w:r w:rsidR="00D96F71">
        <w:rPr>
          <w:sz w:val="20"/>
          <w:szCs w:val="20"/>
        </w:rPr>
        <w:t>)</w:t>
      </w:r>
      <w:r w:rsidRPr="00427C2C">
        <w:rPr>
          <w:sz w:val="20"/>
          <w:szCs w:val="20"/>
        </w:rPr>
        <w:t xml:space="preserve"> the gNB after the PEI-O of the UE and </w:t>
      </w:r>
      <w:r w:rsidR="00D96F71">
        <w:rPr>
          <w:sz w:val="20"/>
          <w:szCs w:val="20"/>
        </w:rPr>
        <w:t xml:space="preserve">yet </w:t>
      </w:r>
      <w:r w:rsidRPr="00427C2C">
        <w:rPr>
          <w:sz w:val="20"/>
          <w:szCs w:val="20"/>
        </w:rPr>
        <w:t xml:space="preserve">before the PO of the UE within </w:t>
      </w:r>
      <w:r w:rsidR="00CA3BBB">
        <w:rPr>
          <w:sz w:val="20"/>
          <w:szCs w:val="20"/>
        </w:rPr>
        <w:t xml:space="preserve">the current </w:t>
      </w:r>
      <w:r w:rsidRPr="00427C2C">
        <w:rPr>
          <w:sz w:val="20"/>
          <w:szCs w:val="20"/>
        </w:rPr>
        <w:t>paging cycle</w:t>
      </w:r>
      <w:r w:rsidR="00CA3BBB">
        <w:rPr>
          <w:sz w:val="20"/>
          <w:szCs w:val="20"/>
        </w:rPr>
        <w:t xml:space="preserve"> (e.g., </w:t>
      </w:r>
      <w:r w:rsidR="00A957CE">
        <w:rPr>
          <w:sz w:val="20"/>
          <w:szCs w:val="20"/>
        </w:rPr>
        <w:t xml:space="preserve">Paging </w:t>
      </w:r>
      <w:r w:rsidR="00CA3BBB">
        <w:rPr>
          <w:sz w:val="20"/>
          <w:szCs w:val="20"/>
        </w:rPr>
        <w:t>cycle #1)</w:t>
      </w:r>
      <w:r w:rsidRPr="00427C2C">
        <w:rPr>
          <w:sz w:val="20"/>
          <w:szCs w:val="20"/>
        </w:rPr>
        <w:t xml:space="preserve">, </w:t>
      </w:r>
      <w:r w:rsidR="00CA3BBB">
        <w:rPr>
          <w:sz w:val="20"/>
          <w:szCs w:val="20"/>
        </w:rPr>
        <w:t xml:space="preserve">as illustrated in Figure 1. In this case, </w:t>
      </w:r>
    </w:p>
    <w:p w14:paraId="327ABF07" w14:textId="29847E40" w:rsidR="00D96F71" w:rsidRPr="00D96F71" w:rsidRDefault="00427C2C" w:rsidP="00D96F71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D96F71">
        <w:rPr>
          <w:rFonts w:ascii="Times New Roman" w:hAnsi="Times New Roman"/>
          <w:sz w:val="20"/>
          <w:szCs w:val="20"/>
        </w:rPr>
        <w:t xml:space="preserve">if a PEI has been sent at the PEI-O </w:t>
      </w:r>
      <w:r w:rsidR="00443511" w:rsidRPr="00D96F71">
        <w:rPr>
          <w:rFonts w:ascii="Times New Roman" w:hAnsi="Times New Roman"/>
          <w:sz w:val="20"/>
          <w:szCs w:val="20"/>
        </w:rPr>
        <w:t xml:space="preserve">in the current paging cycle </w:t>
      </w:r>
      <w:r w:rsidRPr="00D96F71">
        <w:rPr>
          <w:rFonts w:ascii="Times New Roman" w:hAnsi="Times New Roman"/>
          <w:sz w:val="20"/>
          <w:szCs w:val="20"/>
        </w:rPr>
        <w:t xml:space="preserve">and </w:t>
      </w:r>
      <w:r w:rsidR="001D1851">
        <w:rPr>
          <w:rFonts w:ascii="Times New Roman" w:hAnsi="Times New Roman"/>
          <w:sz w:val="20"/>
          <w:szCs w:val="20"/>
        </w:rPr>
        <w:t xml:space="preserve">the PEI </w:t>
      </w:r>
      <w:r w:rsidRPr="00D96F71">
        <w:rPr>
          <w:rFonts w:ascii="Times New Roman" w:hAnsi="Times New Roman"/>
          <w:sz w:val="20"/>
          <w:szCs w:val="20"/>
        </w:rPr>
        <w:t>happens to indicate the subgroup of the UE</w:t>
      </w:r>
      <w:r w:rsidR="001D1851">
        <w:rPr>
          <w:rFonts w:ascii="Times New Roman" w:hAnsi="Times New Roman"/>
          <w:sz w:val="20"/>
          <w:szCs w:val="20"/>
        </w:rPr>
        <w:t xml:space="preserve"> (e.g., due to a need to page another UE sharing the same PO and subgroup ID with the UE)</w:t>
      </w:r>
      <w:r w:rsidRPr="00D96F71">
        <w:rPr>
          <w:rFonts w:ascii="Times New Roman" w:hAnsi="Times New Roman"/>
          <w:sz w:val="20"/>
          <w:szCs w:val="20"/>
        </w:rPr>
        <w:t xml:space="preserve">, the gNB </w:t>
      </w:r>
      <w:r w:rsidR="001D1851">
        <w:rPr>
          <w:rFonts w:ascii="Times New Roman" w:hAnsi="Times New Roman"/>
          <w:sz w:val="20"/>
          <w:szCs w:val="20"/>
        </w:rPr>
        <w:t xml:space="preserve">can </w:t>
      </w:r>
      <w:r w:rsidRPr="00D96F71">
        <w:rPr>
          <w:rFonts w:ascii="Times New Roman" w:hAnsi="Times New Roman"/>
          <w:sz w:val="20"/>
          <w:szCs w:val="20"/>
        </w:rPr>
        <w:t xml:space="preserve">send the paging message </w:t>
      </w:r>
      <w:r w:rsidR="001D1851">
        <w:rPr>
          <w:rFonts w:ascii="Times New Roman" w:hAnsi="Times New Roman"/>
          <w:sz w:val="20"/>
          <w:szCs w:val="20"/>
        </w:rPr>
        <w:t xml:space="preserve">for the UE </w:t>
      </w:r>
      <w:r w:rsidRPr="00D96F71">
        <w:rPr>
          <w:rFonts w:ascii="Times New Roman" w:hAnsi="Times New Roman"/>
          <w:sz w:val="20"/>
          <w:szCs w:val="20"/>
        </w:rPr>
        <w:t xml:space="preserve">using the PO of the UE in the current paging </w:t>
      </w:r>
      <w:proofErr w:type="gramStart"/>
      <w:r w:rsidRPr="00D96F71">
        <w:rPr>
          <w:rFonts w:ascii="Times New Roman" w:hAnsi="Times New Roman"/>
          <w:sz w:val="20"/>
          <w:szCs w:val="20"/>
        </w:rPr>
        <w:t>cycle;</w:t>
      </w:r>
      <w:proofErr w:type="gramEnd"/>
      <w:r w:rsidRPr="00D96F71">
        <w:rPr>
          <w:rFonts w:ascii="Times New Roman" w:hAnsi="Times New Roman"/>
          <w:sz w:val="20"/>
          <w:szCs w:val="20"/>
        </w:rPr>
        <w:t xml:space="preserve"> </w:t>
      </w:r>
    </w:p>
    <w:p w14:paraId="07F0E8E8" w14:textId="7AB15836" w:rsidR="001D1851" w:rsidRDefault="00427C2C" w:rsidP="00D96F71">
      <w:pPr>
        <w:pStyle w:val="ListParagraph"/>
        <w:numPr>
          <w:ilvl w:val="0"/>
          <w:numId w:val="42"/>
        </w:numPr>
        <w:rPr>
          <w:rFonts w:ascii="Times New Roman" w:hAnsi="Times New Roman"/>
          <w:sz w:val="20"/>
          <w:szCs w:val="20"/>
        </w:rPr>
      </w:pPr>
      <w:r w:rsidRPr="00D96F71">
        <w:rPr>
          <w:rFonts w:ascii="Times New Roman" w:hAnsi="Times New Roman"/>
          <w:sz w:val="20"/>
          <w:szCs w:val="20"/>
        </w:rPr>
        <w:t xml:space="preserve">if no PEI is sent or the PEI sent at the PEI-O </w:t>
      </w:r>
      <w:r w:rsidR="00443511" w:rsidRPr="00D96F71">
        <w:rPr>
          <w:rFonts w:ascii="Times New Roman" w:hAnsi="Times New Roman"/>
          <w:sz w:val="20"/>
          <w:szCs w:val="20"/>
        </w:rPr>
        <w:t xml:space="preserve">in the current paging cycle </w:t>
      </w:r>
      <w:r w:rsidRPr="00D96F71">
        <w:rPr>
          <w:rFonts w:ascii="Times New Roman" w:hAnsi="Times New Roman"/>
          <w:sz w:val="20"/>
          <w:szCs w:val="20"/>
        </w:rPr>
        <w:t xml:space="preserve">doesn’t indicate the subgroup of the UE, the gNB </w:t>
      </w:r>
      <w:r w:rsidR="001D1851">
        <w:rPr>
          <w:rFonts w:ascii="Times New Roman" w:hAnsi="Times New Roman"/>
          <w:sz w:val="20"/>
          <w:szCs w:val="20"/>
        </w:rPr>
        <w:t xml:space="preserve">needs to </w:t>
      </w:r>
      <w:r w:rsidRPr="00D96F71">
        <w:rPr>
          <w:rFonts w:ascii="Times New Roman" w:hAnsi="Times New Roman"/>
          <w:sz w:val="20"/>
          <w:szCs w:val="20"/>
        </w:rPr>
        <w:t>postpone paging the UE until the next paging cycle</w:t>
      </w:r>
      <w:r w:rsidR="00A957CE">
        <w:rPr>
          <w:rFonts w:ascii="Times New Roman" w:hAnsi="Times New Roman"/>
          <w:sz w:val="20"/>
          <w:szCs w:val="20"/>
        </w:rPr>
        <w:t xml:space="preserve"> (e.g., Paging cycle #2)</w:t>
      </w:r>
      <w:r w:rsidRPr="00D96F71">
        <w:rPr>
          <w:rFonts w:ascii="Times New Roman" w:hAnsi="Times New Roman"/>
          <w:sz w:val="20"/>
          <w:szCs w:val="20"/>
        </w:rPr>
        <w:t xml:space="preserve">, </w:t>
      </w:r>
      <w:r w:rsidR="001D1851">
        <w:rPr>
          <w:rFonts w:ascii="Times New Roman" w:hAnsi="Times New Roman"/>
          <w:sz w:val="20"/>
          <w:szCs w:val="20"/>
        </w:rPr>
        <w:t>because</w:t>
      </w:r>
      <w:r w:rsidRPr="00D96F71">
        <w:rPr>
          <w:rFonts w:ascii="Times New Roman" w:hAnsi="Times New Roman"/>
          <w:sz w:val="20"/>
          <w:szCs w:val="20"/>
        </w:rPr>
        <w:t xml:space="preserve"> the UE may not monitor its PO in the current paging cycle. </w:t>
      </w:r>
    </w:p>
    <w:p w14:paraId="0C27FCBC" w14:textId="520E8815" w:rsidR="00577201" w:rsidRDefault="00A957CE" w:rsidP="00577201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C2A6E47" wp14:editId="2BC812CE">
            <wp:extent cx="4967618" cy="1039882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256" cy="1062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1CB691" w14:textId="7FCEBC6A" w:rsidR="00577201" w:rsidRDefault="00577201" w:rsidP="00577201">
      <w:pPr>
        <w:jc w:val="center"/>
        <w:rPr>
          <w:sz w:val="20"/>
          <w:szCs w:val="20"/>
        </w:rPr>
      </w:pPr>
      <w:r>
        <w:rPr>
          <w:sz w:val="20"/>
          <w:szCs w:val="20"/>
        </w:rPr>
        <w:t>Figure 1</w:t>
      </w:r>
    </w:p>
    <w:p w14:paraId="6FE964C7" w14:textId="4CD3AE96" w:rsidR="00427C2C" w:rsidRPr="001D1851" w:rsidRDefault="00577201" w:rsidP="001D1851">
      <w:pPr>
        <w:rPr>
          <w:sz w:val="20"/>
          <w:szCs w:val="20"/>
        </w:rPr>
      </w:pPr>
      <w:r>
        <w:rPr>
          <w:sz w:val="20"/>
          <w:szCs w:val="20"/>
        </w:rPr>
        <w:t xml:space="preserve">Comparing to the </w:t>
      </w:r>
      <w:r w:rsidR="00CC687E">
        <w:rPr>
          <w:sz w:val="20"/>
          <w:szCs w:val="20"/>
        </w:rPr>
        <w:t>legacy</w:t>
      </w:r>
      <w:r>
        <w:rPr>
          <w:sz w:val="20"/>
          <w:szCs w:val="20"/>
        </w:rPr>
        <w:t xml:space="preserve"> paging </w:t>
      </w:r>
      <w:r w:rsidR="00CC687E">
        <w:rPr>
          <w:sz w:val="20"/>
          <w:szCs w:val="20"/>
        </w:rPr>
        <w:t>method</w:t>
      </w:r>
      <w:r>
        <w:rPr>
          <w:sz w:val="20"/>
          <w:szCs w:val="20"/>
        </w:rPr>
        <w:t>, t</w:t>
      </w:r>
      <w:r w:rsidR="00427C2C" w:rsidRPr="001D1851">
        <w:rPr>
          <w:sz w:val="20"/>
          <w:szCs w:val="20"/>
        </w:rPr>
        <w:t>he average paging queuing delay is increased</w:t>
      </w:r>
      <w:r w:rsidR="00CC687E">
        <w:rPr>
          <w:sz w:val="20"/>
          <w:szCs w:val="20"/>
        </w:rPr>
        <w:t>,</w:t>
      </w:r>
      <w:r w:rsidR="00427C2C" w:rsidRPr="001D1851">
        <w:rPr>
          <w:sz w:val="20"/>
          <w:szCs w:val="20"/>
        </w:rPr>
        <w:t xml:space="preserve"> </w:t>
      </w:r>
      <w:r w:rsidR="00CC687E">
        <w:rPr>
          <w:sz w:val="20"/>
          <w:szCs w:val="20"/>
        </w:rPr>
        <w:t xml:space="preserve">due to the use of PEI, </w:t>
      </w:r>
      <w:r w:rsidR="00427C2C" w:rsidRPr="001D1851">
        <w:rPr>
          <w:sz w:val="20"/>
          <w:szCs w:val="20"/>
        </w:rPr>
        <w:t>by an amount equal to the time interval between the PEI-O and the PO of the UE</w:t>
      </w:r>
      <w:r w:rsidR="006A1B19">
        <w:rPr>
          <w:sz w:val="20"/>
          <w:szCs w:val="20"/>
        </w:rPr>
        <w:t xml:space="preserve"> (which interval is</w:t>
      </w:r>
      <w:r w:rsidR="001D1851">
        <w:rPr>
          <w:sz w:val="20"/>
          <w:szCs w:val="20"/>
        </w:rPr>
        <w:t xml:space="preserve"> </w:t>
      </w:r>
      <w:r w:rsidR="00061C7A">
        <w:rPr>
          <w:sz w:val="20"/>
          <w:szCs w:val="20"/>
        </w:rPr>
        <w:t>roughly 1</w:t>
      </w:r>
      <w:r w:rsidR="00427C2C" w:rsidRPr="001D1851">
        <w:rPr>
          <w:sz w:val="20"/>
          <w:szCs w:val="20"/>
        </w:rPr>
        <w:t xml:space="preserve">0, </w:t>
      </w:r>
      <w:r w:rsidR="00061C7A">
        <w:rPr>
          <w:sz w:val="20"/>
          <w:szCs w:val="20"/>
        </w:rPr>
        <w:t>3</w:t>
      </w:r>
      <w:r w:rsidR="00427C2C" w:rsidRPr="001D1851">
        <w:rPr>
          <w:sz w:val="20"/>
          <w:szCs w:val="20"/>
        </w:rPr>
        <w:t xml:space="preserve">0, or </w:t>
      </w:r>
      <w:r w:rsidR="00061C7A">
        <w:rPr>
          <w:sz w:val="20"/>
          <w:szCs w:val="20"/>
        </w:rPr>
        <w:t>5</w:t>
      </w:r>
      <w:r w:rsidR="00427C2C" w:rsidRPr="001D1851">
        <w:rPr>
          <w:sz w:val="20"/>
          <w:szCs w:val="20"/>
        </w:rPr>
        <w:t>0 msec</w:t>
      </w:r>
      <w:r w:rsidR="00061C7A">
        <w:rPr>
          <w:sz w:val="20"/>
          <w:szCs w:val="20"/>
        </w:rPr>
        <w:t xml:space="preserve"> for L = 1, 2, or 3, </w:t>
      </w:r>
      <w:r w:rsidR="004C1BC5">
        <w:rPr>
          <w:sz w:val="20"/>
          <w:szCs w:val="20"/>
        </w:rPr>
        <w:t xml:space="preserve">where </w:t>
      </w:r>
      <w:r w:rsidR="004C1BC5" w:rsidRPr="004C1BC5">
        <w:rPr>
          <w:sz w:val="20"/>
          <w:szCs w:val="20"/>
        </w:rPr>
        <w:t xml:space="preserve">the first PDCCH monitoring occasion of </w:t>
      </w:r>
      <w:r w:rsidR="004C1BC5">
        <w:rPr>
          <w:sz w:val="20"/>
          <w:szCs w:val="20"/>
        </w:rPr>
        <w:t>the PEI is located closely after the L</w:t>
      </w:r>
      <w:r w:rsidR="004C1BC5" w:rsidRPr="004C1BC5">
        <w:rPr>
          <w:sz w:val="20"/>
          <w:szCs w:val="20"/>
          <w:vertAlign w:val="subscript"/>
        </w:rPr>
        <w:t>th</w:t>
      </w:r>
      <w:r w:rsidR="004C1BC5">
        <w:rPr>
          <w:sz w:val="20"/>
          <w:szCs w:val="20"/>
        </w:rPr>
        <w:t xml:space="preserve"> SSB before </w:t>
      </w:r>
      <w:r w:rsidR="004C1BC5" w:rsidRPr="004C1BC5">
        <w:rPr>
          <w:sz w:val="20"/>
          <w:szCs w:val="20"/>
        </w:rPr>
        <w:t xml:space="preserve">the first PDCCH monitoring occasion </w:t>
      </w:r>
      <w:r w:rsidR="004C1BC5">
        <w:rPr>
          <w:sz w:val="20"/>
          <w:szCs w:val="20"/>
        </w:rPr>
        <w:t>of the target PO</w:t>
      </w:r>
      <w:r w:rsidR="006A1B19">
        <w:rPr>
          <w:sz w:val="20"/>
          <w:szCs w:val="20"/>
        </w:rPr>
        <w:t>)</w:t>
      </w:r>
      <w:r w:rsidR="00427C2C" w:rsidRPr="001D1851">
        <w:rPr>
          <w:sz w:val="20"/>
          <w:szCs w:val="20"/>
        </w:rPr>
        <w:t xml:space="preserve">, multiplied by the probability (P) that no PEI is sent or the PEI sent doesn’t indicate the subgroup of the UE, where P approximates to 1 when </w:t>
      </w:r>
      <w:r w:rsidR="00CC687E">
        <w:rPr>
          <w:sz w:val="20"/>
          <w:szCs w:val="20"/>
        </w:rPr>
        <w:t xml:space="preserve">the </w:t>
      </w:r>
      <w:r w:rsidR="00427C2C" w:rsidRPr="001D1851">
        <w:rPr>
          <w:sz w:val="20"/>
          <w:szCs w:val="20"/>
        </w:rPr>
        <w:t>paging load is light or UE subgrouping has separated UEs well.</w:t>
      </w:r>
    </w:p>
    <w:p w14:paraId="2AEE0A84" w14:textId="72BD8C99" w:rsidR="003876F8" w:rsidRDefault="00B157B0" w:rsidP="0099769E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="0099769E" w:rsidRPr="00524245">
        <w:rPr>
          <w:b/>
          <w:bCs/>
          <w:sz w:val="20"/>
          <w:szCs w:val="20"/>
        </w:rPr>
        <w:t xml:space="preserve"> 1. </w:t>
      </w:r>
      <w:r w:rsidR="004F7DD5">
        <w:rPr>
          <w:b/>
          <w:bCs/>
          <w:sz w:val="20"/>
          <w:szCs w:val="20"/>
        </w:rPr>
        <w:t>T</w:t>
      </w:r>
      <w:r w:rsidR="0099769E" w:rsidRPr="00524245">
        <w:rPr>
          <w:b/>
          <w:bCs/>
          <w:sz w:val="20"/>
          <w:szCs w:val="20"/>
        </w:rPr>
        <w:t xml:space="preserve">he </w:t>
      </w:r>
      <w:r w:rsidR="0088560D" w:rsidRPr="0088560D">
        <w:rPr>
          <w:b/>
          <w:bCs/>
          <w:sz w:val="20"/>
          <w:szCs w:val="20"/>
        </w:rPr>
        <w:t>average paging queuing delay is increased</w:t>
      </w:r>
      <w:r w:rsidR="004F7DD5">
        <w:rPr>
          <w:b/>
          <w:bCs/>
          <w:sz w:val="20"/>
          <w:szCs w:val="20"/>
        </w:rPr>
        <w:t xml:space="preserve">, due to the use of PEI, </w:t>
      </w:r>
      <w:r w:rsidR="0088560D" w:rsidRPr="0088560D">
        <w:rPr>
          <w:b/>
          <w:bCs/>
          <w:sz w:val="20"/>
          <w:szCs w:val="20"/>
        </w:rPr>
        <w:t xml:space="preserve">by an amount equal to the time interval between the PEI-O and the PO of the UE, multiplied by the probability (P) that no PEI is sent or the PEI sent doesn’t indicate the subgroup of the UE, where P approximates to 1 when </w:t>
      </w:r>
      <w:r w:rsidR="004F7DD5">
        <w:rPr>
          <w:b/>
          <w:bCs/>
          <w:sz w:val="20"/>
          <w:szCs w:val="20"/>
        </w:rPr>
        <w:t xml:space="preserve">the </w:t>
      </w:r>
      <w:r w:rsidR="0088560D" w:rsidRPr="0088560D">
        <w:rPr>
          <w:b/>
          <w:bCs/>
          <w:sz w:val="20"/>
          <w:szCs w:val="20"/>
        </w:rPr>
        <w:t>paging load is light or UE subgrouping has separated UEs well.</w:t>
      </w:r>
    </w:p>
    <w:p w14:paraId="1DC7E2E9" w14:textId="0A94CF57" w:rsidR="002B54EE" w:rsidRDefault="00313C65" w:rsidP="0099769E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Certain</w:t>
      </w:r>
      <w:r w:rsidR="00846BFB" w:rsidRPr="00846BFB">
        <w:rPr>
          <w:sz w:val="20"/>
          <w:szCs w:val="20"/>
        </w:rPr>
        <w:t xml:space="preserve"> mission-critical data services, such as those used in smart-grid, industrial IoT and remote control, push-to-talk, and data or positioning services for emergency personnel, may not be able to tolerate long paging delay. For these services, increasing the paging queuing delay by </w:t>
      </w:r>
      <w:r w:rsidR="004C1BC5">
        <w:rPr>
          <w:sz w:val="20"/>
          <w:szCs w:val="20"/>
        </w:rPr>
        <w:t>1</w:t>
      </w:r>
      <w:r w:rsidR="00846BFB" w:rsidRPr="00846BFB">
        <w:rPr>
          <w:sz w:val="20"/>
          <w:szCs w:val="20"/>
        </w:rPr>
        <w:t xml:space="preserve">0, </w:t>
      </w:r>
      <w:r w:rsidR="004C1BC5">
        <w:rPr>
          <w:sz w:val="20"/>
          <w:szCs w:val="20"/>
        </w:rPr>
        <w:t>3</w:t>
      </w:r>
      <w:r w:rsidR="00846BFB" w:rsidRPr="00846BFB">
        <w:rPr>
          <w:sz w:val="20"/>
          <w:szCs w:val="20"/>
        </w:rPr>
        <w:t xml:space="preserve">0, or </w:t>
      </w:r>
      <w:r w:rsidR="004C1BC5">
        <w:rPr>
          <w:sz w:val="20"/>
          <w:szCs w:val="20"/>
        </w:rPr>
        <w:t>5</w:t>
      </w:r>
      <w:r w:rsidR="00846BFB" w:rsidRPr="00846BFB">
        <w:rPr>
          <w:sz w:val="20"/>
          <w:szCs w:val="20"/>
        </w:rPr>
        <w:t>0 msec due to the use of PEI in paging the UE may not be acceptable.</w:t>
      </w:r>
      <w:r w:rsidR="00792512">
        <w:rPr>
          <w:sz w:val="20"/>
          <w:szCs w:val="20"/>
        </w:rPr>
        <w:t xml:space="preserve"> </w:t>
      </w:r>
    </w:p>
    <w:p w14:paraId="4BAF7286" w14:textId="09E2F10F" w:rsidR="00313C65" w:rsidRDefault="00313C65" w:rsidP="0099769E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Observation</w:t>
      </w:r>
      <w:r w:rsidRPr="00524245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2</w:t>
      </w:r>
      <w:r w:rsidRPr="00524245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For c</w:t>
      </w:r>
      <w:r w:rsidRPr="00313C65">
        <w:rPr>
          <w:b/>
          <w:bCs/>
          <w:sz w:val="20"/>
          <w:szCs w:val="20"/>
        </w:rPr>
        <w:t xml:space="preserve">ertain mission-critical data services, increasing the paging queuing delay by </w:t>
      </w:r>
      <w:r w:rsidR="004C1BC5">
        <w:rPr>
          <w:b/>
          <w:bCs/>
          <w:sz w:val="20"/>
          <w:szCs w:val="20"/>
        </w:rPr>
        <w:t>1</w:t>
      </w:r>
      <w:r w:rsidRPr="00313C65">
        <w:rPr>
          <w:b/>
          <w:bCs/>
          <w:sz w:val="20"/>
          <w:szCs w:val="20"/>
        </w:rPr>
        <w:t xml:space="preserve">0, </w:t>
      </w:r>
      <w:r w:rsidR="004C1BC5">
        <w:rPr>
          <w:b/>
          <w:bCs/>
          <w:sz w:val="20"/>
          <w:szCs w:val="20"/>
        </w:rPr>
        <w:t>3</w:t>
      </w:r>
      <w:r w:rsidRPr="00313C65">
        <w:rPr>
          <w:b/>
          <w:bCs/>
          <w:sz w:val="20"/>
          <w:szCs w:val="20"/>
        </w:rPr>
        <w:t xml:space="preserve">0, or </w:t>
      </w:r>
      <w:r w:rsidR="004C1BC5">
        <w:rPr>
          <w:b/>
          <w:bCs/>
          <w:sz w:val="20"/>
          <w:szCs w:val="20"/>
        </w:rPr>
        <w:t>5</w:t>
      </w:r>
      <w:r w:rsidRPr="00313C65">
        <w:rPr>
          <w:b/>
          <w:bCs/>
          <w:sz w:val="20"/>
          <w:szCs w:val="20"/>
        </w:rPr>
        <w:t>0 msec due to the use of PEI in paging may not be acceptable.</w:t>
      </w:r>
    </w:p>
    <w:p w14:paraId="6246859E" w14:textId="4680EEF1" w:rsidR="00792512" w:rsidRDefault="00792512" w:rsidP="0099769E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sz w:val="20"/>
          <w:szCs w:val="20"/>
        </w:rPr>
        <w:t>Therefore, the use of PEI may need to be disabled for these UEs.</w:t>
      </w:r>
    </w:p>
    <w:p w14:paraId="0316745B" w14:textId="71EC3F1B" w:rsidR="0088560D" w:rsidRDefault="0088560D" w:rsidP="0088560D">
      <w:pPr>
        <w:pStyle w:val="Heading2"/>
        <w:rPr>
          <w:szCs w:val="24"/>
        </w:rPr>
      </w:pPr>
      <w:r>
        <w:rPr>
          <w:szCs w:val="24"/>
        </w:rPr>
        <w:t xml:space="preserve">Shortcoming in the </w:t>
      </w:r>
      <w:r w:rsidR="00CC2E71">
        <w:rPr>
          <w:szCs w:val="24"/>
        </w:rPr>
        <w:t>existing</w:t>
      </w:r>
      <w:r>
        <w:rPr>
          <w:szCs w:val="24"/>
        </w:rPr>
        <w:t xml:space="preserve"> </w:t>
      </w:r>
      <w:r w:rsidR="002B54EE">
        <w:rPr>
          <w:szCs w:val="24"/>
        </w:rPr>
        <w:t xml:space="preserve">means for the </w:t>
      </w:r>
      <w:r>
        <w:rPr>
          <w:szCs w:val="24"/>
        </w:rPr>
        <w:t xml:space="preserve">network </w:t>
      </w:r>
      <w:r w:rsidR="002B54EE">
        <w:rPr>
          <w:szCs w:val="24"/>
        </w:rPr>
        <w:t xml:space="preserve">to </w:t>
      </w:r>
      <w:r>
        <w:rPr>
          <w:szCs w:val="24"/>
        </w:rPr>
        <w:t>control the use of PEI</w:t>
      </w:r>
    </w:p>
    <w:p w14:paraId="37B6418B" w14:textId="051518DD" w:rsidR="00814DAC" w:rsidRDefault="009D2CD1" w:rsidP="00814DAC">
      <w:pPr>
        <w:rPr>
          <w:sz w:val="20"/>
          <w:szCs w:val="20"/>
        </w:rPr>
      </w:pPr>
      <w:r>
        <w:rPr>
          <w:sz w:val="20"/>
          <w:szCs w:val="20"/>
        </w:rPr>
        <w:t xml:space="preserve">Currently, there is no means for the network to enable or disable the use of PEI on an individual UE’s basis. </w:t>
      </w:r>
      <w:r w:rsidRPr="002B54EE">
        <w:rPr>
          <w:sz w:val="20"/>
          <w:szCs w:val="20"/>
        </w:rPr>
        <w:t xml:space="preserve">Although the gNB can disable the use of PEI </w:t>
      </w:r>
      <w:r>
        <w:rPr>
          <w:sz w:val="20"/>
          <w:szCs w:val="20"/>
        </w:rPr>
        <w:t xml:space="preserve">in a cell </w:t>
      </w:r>
      <w:r w:rsidRPr="002B54EE">
        <w:rPr>
          <w:sz w:val="20"/>
          <w:szCs w:val="20"/>
        </w:rPr>
        <w:t xml:space="preserve">by broadcasting </w:t>
      </w:r>
      <w:r w:rsidR="00DD1FE6">
        <w:rPr>
          <w:sz w:val="20"/>
          <w:szCs w:val="20"/>
        </w:rPr>
        <w:t xml:space="preserve">the SI without any </w:t>
      </w:r>
      <w:r w:rsidRPr="002B54EE">
        <w:rPr>
          <w:sz w:val="20"/>
          <w:szCs w:val="20"/>
        </w:rPr>
        <w:t xml:space="preserve">configuration information related to PEI, that will disable the use of PEI for all </w:t>
      </w:r>
      <w:r>
        <w:rPr>
          <w:sz w:val="20"/>
          <w:szCs w:val="20"/>
        </w:rPr>
        <w:t xml:space="preserve">idle or inactive </w:t>
      </w:r>
      <w:r w:rsidRPr="002B54EE">
        <w:rPr>
          <w:sz w:val="20"/>
          <w:szCs w:val="20"/>
        </w:rPr>
        <w:t>UEs in the cell.</w:t>
      </w:r>
      <w:r w:rsidR="00DB0C2D">
        <w:rPr>
          <w:sz w:val="20"/>
          <w:szCs w:val="20"/>
        </w:rPr>
        <w:t xml:space="preserve"> </w:t>
      </w:r>
      <w:r w:rsidR="00DB0C2D" w:rsidRPr="002B54EE">
        <w:rPr>
          <w:sz w:val="20"/>
          <w:szCs w:val="20"/>
        </w:rPr>
        <w:t xml:space="preserve">So is the case </w:t>
      </w:r>
      <w:r w:rsidR="00DB0C2D">
        <w:rPr>
          <w:sz w:val="20"/>
          <w:szCs w:val="20"/>
        </w:rPr>
        <w:t xml:space="preserve">if the gNB wishes to disable the use of </w:t>
      </w:r>
      <w:r w:rsidR="00DB0C2D" w:rsidRPr="002B54EE">
        <w:rPr>
          <w:sz w:val="20"/>
          <w:szCs w:val="20"/>
        </w:rPr>
        <w:t>UEID-based subgrouping.</w:t>
      </w:r>
      <w:r w:rsidR="00DB0C2D">
        <w:rPr>
          <w:sz w:val="20"/>
          <w:szCs w:val="20"/>
        </w:rPr>
        <w:t xml:space="preserve"> </w:t>
      </w:r>
      <w:r w:rsidR="00DD1FE6">
        <w:rPr>
          <w:sz w:val="20"/>
          <w:szCs w:val="20"/>
        </w:rPr>
        <w:t xml:space="preserve">Although </w:t>
      </w:r>
      <w:r w:rsidR="002B54EE" w:rsidRPr="002B54EE">
        <w:rPr>
          <w:sz w:val="20"/>
          <w:szCs w:val="20"/>
        </w:rPr>
        <w:t xml:space="preserve">the CN can disable the use of CN-assigned subgrouping for a UE by </w:t>
      </w:r>
      <w:r w:rsidR="00DD1FE6">
        <w:rPr>
          <w:sz w:val="20"/>
          <w:szCs w:val="20"/>
        </w:rPr>
        <w:t xml:space="preserve">not </w:t>
      </w:r>
      <w:r w:rsidR="002B54EE" w:rsidRPr="002B54EE">
        <w:rPr>
          <w:sz w:val="20"/>
          <w:szCs w:val="20"/>
        </w:rPr>
        <w:t xml:space="preserve">assigning </w:t>
      </w:r>
      <w:r w:rsidR="00DD1FE6">
        <w:rPr>
          <w:sz w:val="20"/>
          <w:szCs w:val="20"/>
        </w:rPr>
        <w:t>a</w:t>
      </w:r>
      <w:r w:rsidR="002B54EE" w:rsidRPr="002B54EE">
        <w:rPr>
          <w:sz w:val="20"/>
          <w:szCs w:val="20"/>
        </w:rPr>
        <w:t xml:space="preserve"> CN-assigned subgroup ID to the UE</w:t>
      </w:r>
      <w:r w:rsidR="00DD1FE6">
        <w:rPr>
          <w:sz w:val="20"/>
          <w:szCs w:val="20"/>
        </w:rPr>
        <w:t xml:space="preserve">, </w:t>
      </w:r>
      <w:r w:rsidR="00A36F8E">
        <w:rPr>
          <w:sz w:val="20"/>
          <w:szCs w:val="20"/>
        </w:rPr>
        <w:t>according to</w:t>
      </w:r>
      <w:r w:rsidR="00DB0C2D">
        <w:rPr>
          <w:sz w:val="20"/>
          <w:szCs w:val="20"/>
        </w:rPr>
        <w:t xml:space="preserve"> the existing agreements, </w:t>
      </w:r>
      <w:r w:rsidR="002B54EE" w:rsidRPr="002B54EE">
        <w:rPr>
          <w:sz w:val="20"/>
          <w:szCs w:val="20"/>
        </w:rPr>
        <w:t xml:space="preserve">the </w:t>
      </w:r>
      <w:r>
        <w:rPr>
          <w:sz w:val="20"/>
          <w:szCs w:val="20"/>
        </w:rPr>
        <w:t>gNB and the UE</w:t>
      </w:r>
      <w:r w:rsidR="00DB0C2D">
        <w:rPr>
          <w:sz w:val="20"/>
          <w:szCs w:val="20"/>
        </w:rPr>
        <w:t xml:space="preserve"> will </w:t>
      </w:r>
      <w:r w:rsidR="002B54EE" w:rsidRPr="002B54EE">
        <w:rPr>
          <w:sz w:val="20"/>
          <w:szCs w:val="20"/>
        </w:rPr>
        <w:t xml:space="preserve">still use </w:t>
      </w:r>
      <w:r>
        <w:rPr>
          <w:sz w:val="20"/>
          <w:szCs w:val="20"/>
        </w:rPr>
        <w:t xml:space="preserve">PEI with </w:t>
      </w:r>
      <w:r w:rsidR="002B54EE" w:rsidRPr="002B54EE">
        <w:rPr>
          <w:sz w:val="20"/>
          <w:szCs w:val="20"/>
        </w:rPr>
        <w:t xml:space="preserve">UEID-based subgrouping in </w:t>
      </w:r>
      <w:r>
        <w:rPr>
          <w:sz w:val="20"/>
          <w:szCs w:val="20"/>
        </w:rPr>
        <w:t xml:space="preserve">transmitting or </w:t>
      </w:r>
      <w:r w:rsidR="00B04C14">
        <w:rPr>
          <w:sz w:val="20"/>
          <w:szCs w:val="20"/>
        </w:rPr>
        <w:t>receiving</w:t>
      </w:r>
      <w:r>
        <w:rPr>
          <w:sz w:val="20"/>
          <w:szCs w:val="20"/>
        </w:rPr>
        <w:t xml:space="preserve"> </w:t>
      </w:r>
      <w:r w:rsidR="00B04C14">
        <w:rPr>
          <w:sz w:val="20"/>
          <w:szCs w:val="20"/>
        </w:rPr>
        <w:t xml:space="preserve">the </w:t>
      </w:r>
      <w:r w:rsidR="002B54EE" w:rsidRPr="002B54EE">
        <w:rPr>
          <w:sz w:val="20"/>
          <w:szCs w:val="20"/>
        </w:rPr>
        <w:t xml:space="preserve">paging </w:t>
      </w:r>
      <w:r w:rsidR="00B04C14">
        <w:rPr>
          <w:sz w:val="20"/>
          <w:szCs w:val="20"/>
        </w:rPr>
        <w:t xml:space="preserve">message for </w:t>
      </w:r>
      <w:r w:rsidR="002B54EE" w:rsidRPr="002B54EE">
        <w:rPr>
          <w:sz w:val="20"/>
          <w:szCs w:val="20"/>
        </w:rPr>
        <w:t xml:space="preserve">the UE, </w:t>
      </w:r>
      <w:r w:rsidR="00DD1FE6">
        <w:rPr>
          <w:sz w:val="20"/>
          <w:szCs w:val="20"/>
        </w:rPr>
        <w:t xml:space="preserve">as long as </w:t>
      </w:r>
      <w:r w:rsidR="00DB0C2D">
        <w:rPr>
          <w:sz w:val="20"/>
          <w:szCs w:val="20"/>
        </w:rPr>
        <w:t xml:space="preserve">both </w:t>
      </w:r>
      <w:r w:rsidR="00DD1FE6">
        <w:rPr>
          <w:sz w:val="20"/>
          <w:szCs w:val="20"/>
        </w:rPr>
        <w:t xml:space="preserve">the gNB and the UE </w:t>
      </w:r>
      <w:r w:rsidR="00DB0C2D">
        <w:rPr>
          <w:sz w:val="20"/>
          <w:szCs w:val="20"/>
        </w:rPr>
        <w:t xml:space="preserve">are capable of </w:t>
      </w:r>
      <w:r w:rsidR="00DD1FE6">
        <w:rPr>
          <w:sz w:val="20"/>
          <w:szCs w:val="20"/>
        </w:rPr>
        <w:t>support</w:t>
      </w:r>
      <w:r w:rsidR="00DB0C2D">
        <w:rPr>
          <w:sz w:val="20"/>
          <w:szCs w:val="20"/>
        </w:rPr>
        <w:t>ing</w:t>
      </w:r>
      <w:r w:rsidR="00DD1FE6">
        <w:rPr>
          <w:sz w:val="20"/>
          <w:szCs w:val="20"/>
        </w:rPr>
        <w:t xml:space="preserve"> UEID-based subgrouping</w:t>
      </w:r>
      <w:r w:rsidR="002B54EE" w:rsidRPr="002B54EE">
        <w:rPr>
          <w:sz w:val="20"/>
          <w:szCs w:val="20"/>
        </w:rPr>
        <w:t xml:space="preserve">. </w:t>
      </w:r>
      <w:r w:rsidR="006433C0">
        <w:rPr>
          <w:sz w:val="20"/>
          <w:szCs w:val="20"/>
        </w:rPr>
        <w:t>Therefore</w:t>
      </w:r>
      <w:r w:rsidR="002B54EE" w:rsidRPr="002B54EE">
        <w:rPr>
          <w:sz w:val="20"/>
          <w:szCs w:val="20"/>
        </w:rPr>
        <w:t xml:space="preserve">, </w:t>
      </w:r>
      <w:r w:rsidR="006433C0">
        <w:rPr>
          <w:sz w:val="20"/>
          <w:szCs w:val="20"/>
        </w:rPr>
        <w:t xml:space="preserve">a mechanism for the network to control (i.e., enable or disable) the use of PEI </w:t>
      </w:r>
      <w:r w:rsidR="002B54EE" w:rsidRPr="002B54EE">
        <w:rPr>
          <w:sz w:val="20"/>
          <w:szCs w:val="20"/>
        </w:rPr>
        <w:t>on an individual UE’s basis</w:t>
      </w:r>
      <w:r w:rsidR="006433C0">
        <w:rPr>
          <w:sz w:val="20"/>
          <w:szCs w:val="20"/>
        </w:rPr>
        <w:t xml:space="preserve"> is needed </w:t>
      </w:r>
      <w:r w:rsidR="000C4E91">
        <w:rPr>
          <w:sz w:val="20"/>
          <w:szCs w:val="20"/>
        </w:rPr>
        <w:t xml:space="preserve">so that the use of PEI can be disabled for </w:t>
      </w:r>
      <w:r w:rsidR="009811F6">
        <w:rPr>
          <w:sz w:val="20"/>
          <w:szCs w:val="20"/>
        </w:rPr>
        <w:t>an individual UE</w:t>
      </w:r>
      <w:r w:rsidR="00A36F8E">
        <w:rPr>
          <w:sz w:val="20"/>
          <w:szCs w:val="20"/>
        </w:rPr>
        <w:t xml:space="preserve">, e.g., </w:t>
      </w:r>
      <w:r w:rsidR="0019527D">
        <w:rPr>
          <w:sz w:val="20"/>
          <w:szCs w:val="20"/>
        </w:rPr>
        <w:t xml:space="preserve">a </w:t>
      </w:r>
      <w:r w:rsidR="000C4E91">
        <w:rPr>
          <w:sz w:val="20"/>
          <w:szCs w:val="20"/>
        </w:rPr>
        <w:t>UE having a stringent delay requirement</w:t>
      </w:r>
      <w:r w:rsidR="0019527D">
        <w:rPr>
          <w:sz w:val="20"/>
          <w:szCs w:val="20"/>
        </w:rPr>
        <w:t xml:space="preserve">, </w:t>
      </w:r>
      <w:r w:rsidR="00BF01BF">
        <w:rPr>
          <w:sz w:val="20"/>
          <w:szCs w:val="20"/>
        </w:rPr>
        <w:t>should the network determine that the delay requirement</w:t>
      </w:r>
      <w:r w:rsidR="0019527D">
        <w:rPr>
          <w:sz w:val="20"/>
          <w:szCs w:val="20"/>
        </w:rPr>
        <w:t xml:space="preserve"> may be violated </w:t>
      </w:r>
      <w:r w:rsidR="00BF01BF">
        <w:rPr>
          <w:sz w:val="20"/>
          <w:szCs w:val="20"/>
        </w:rPr>
        <w:t>if</w:t>
      </w:r>
      <w:r w:rsidR="0019527D">
        <w:rPr>
          <w:sz w:val="20"/>
          <w:szCs w:val="20"/>
        </w:rPr>
        <w:t xml:space="preserve"> PEI </w:t>
      </w:r>
      <w:r w:rsidR="00BF01BF">
        <w:rPr>
          <w:sz w:val="20"/>
          <w:szCs w:val="20"/>
        </w:rPr>
        <w:t>is</w:t>
      </w:r>
      <w:r w:rsidR="0019527D">
        <w:rPr>
          <w:sz w:val="20"/>
          <w:szCs w:val="20"/>
        </w:rPr>
        <w:t xml:space="preserve"> used in paging the UE</w:t>
      </w:r>
      <w:r w:rsidR="002B54EE" w:rsidRPr="002B54EE">
        <w:rPr>
          <w:sz w:val="20"/>
          <w:szCs w:val="20"/>
        </w:rPr>
        <w:t>.</w:t>
      </w:r>
    </w:p>
    <w:p w14:paraId="4172FC1B" w14:textId="4DA0E950" w:rsidR="002B253E" w:rsidRPr="002B253E" w:rsidRDefault="002B253E" w:rsidP="002B253E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Pr="00524245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3</w:t>
      </w:r>
      <w:r w:rsidRPr="00524245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  <w:r w:rsidRPr="002B253E">
        <w:rPr>
          <w:b/>
          <w:bCs/>
          <w:sz w:val="20"/>
          <w:szCs w:val="20"/>
        </w:rPr>
        <w:t>Currently, there is no means for the network to enable or disable the use of PEI on an individual UE’s basis.</w:t>
      </w:r>
    </w:p>
    <w:p w14:paraId="599D0E11" w14:textId="48787BED" w:rsidR="00300D11" w:rsidRPr="00C81691" w:rsidRDefault="00B157B0" w:rsidP="00300D11">
      <w:pPr>
        <w:pStyle w:val="Heading2"/>
        <w:rPr>
          <w:szCs w:val="24"/>
        </w:rPr>
      </w:pPr>
      <w:r>
        <w:rPr>
          <w:szCs w:val="24"/>
        </w:rPr>
        <w:t>Proposed solution</w:t>
      </w:r>
    </w:p>
    <w:p w14:paraId="2E097ECF" w14:textId="1C407644" w:rsidR="00432B37" w:rsidRDefault="00CB71D7" w:rsidP="0007793F">
      <w:pPr>
        <w:spacing w:before="240" w:after="240"/>
        <w:jc w:val="left"/>
        <w:rPr>
          <w:sz w:val="20"/>
          <w:szCs w:val="20"/>
        </w:rPr>
      </w:pPr>
      <w:r w:rsidRPr="007D6C1B">
        <w:rPr>
          <w:sz w:val="20"/>
          <w:szCs w:val="20"/>
        </w:rPr>
        <w:t xml:space="preserve">The </w:t>
      </w:r>
      <w:r w:rsidR="007E2F49" w:rsidRPr="007D6C1B">
        <w:rPr>
          <w:sz w:val="20"/>
          <w:szCs w:val="20"/>
        </w:rPr>
        <w:t xml:space="preserve">network’s </w:t>
      </w:r>
      <w:r w:rsidRPr="007D6C1B">
        <w:rPr>
          <w:sz w:val="20"/>
          <w:szCs w:val="20"/>
        </w:rPr>
        <w:t xml:space="preserve">decision to enable or disable the use of PEI in paging a UE </w:t>
      </w:r>
      <w:r w:rsidR="00975EA3" w:rsidRPr="007D6C1B">
        <w:rPr>
          <w:sz w:val="20"/>
          <w:szCs w:val="20"/>
        </w:rPr>
        <w:t>can</w:t>
      </w:r>
      <w:r w:rsidRPr="007D6C1B">
        <w:rPr>
          <w:sz w:val="20"/>
          <w:szCs w:val="20"/>
        </w:rPr>
        <w:t xml:space="preserve"> be </w:t>
      </w:r>
      <w:r w:rsidR="00B64992" w:rsidRPr="007D6C1B">
        <w:rPr>
          <w:sz w:val="20"/>
          <w:szCs w:val="20"/>
        </w:rPr>
        <w:t xml:space="preserve">made </w:t>
      </w:r>
      <w:r w:rsidR="00974424">
        <w:rPr>
          <w:sz w:val="20"/>
          <w:szCs w:val="20"/>
        </w:rPr>
        <w:t xml:space="preserve">individually, e.g., </w:t>
      </w:r>
      <w:r w:rsidR="00B64992" w:rsidRPr="007D6C1B">
        <w:rPr>
          <w:sz w:val="20"/>
          <w:szCs w:val="20"/>
        </w:rPr>
        <w:t xml:space="preserve">based on the most stringent delay requirement among the QoS flows of the data PDU session(s) established on the UE. </w:t>
      </w:r>
      <w:r w:rsidR="00DB14A0" w:rsidRPr="007D6C1B">
        <w:rPr>
          <w:sz w:val="20"/>
          <w:szCs w:val="20"/>
        </w:rPr>
        <w:t xml:space="preserve">The serving AMF of the UE is a natural choice as the network entity </w:t>
      </w:r>
      <w:r w:rsidR="009A2137">
        <w:rPr>
          <w:sz w:val="20"/>
          <w:szCs w:val="20"/>
        </w:rPr>
        <w:t xml:space="preserve">for </w:t>
      </w:r>
      <w:r w:rsidR="00DB14A0" w:rsidRPr="007D6C1B">
        <w:rPr>
          <w:sz w:val="20"/>
          <w:szCs w:val="20"/>
        </w:rPr>
        <w:t xml:space="preserve">making such decision. </w:t>
      </w:r>
    </w:p>
    <w:p w14:paraId="0DFE5EAE" w14:textId="1C3EA0A5" w:rsidR="003A7209" w:rsidRDefault="00B509A8" w:rsidP="0007793F">
      <w:pPr>
        <w:spacing w:before="240" w:after="240"/>
        <w:jc w:val="left"/>
        <w:rPr>
          <w:sz w:val="20"/>
          <w:szCs w:val="20"/>
        </w:rPr>
      </w:pPr>
      <w:r w:rsidRPr="007D6C1B">
        <w:rPr>
          <w:sz w:val="20"/>
          <w:szCs w:val="20"/>
        </w:rPr>
        <w:t>The AMF</w:t>
      </w:r>
      <w:r w:rsidR="00FD40BE">
        <w:rPr>
          <w:sz w:val="20"/>
          <w:szCs w:val="20"/>
        </w:rPr>
        <w:t xml:space="preserve"> can inform it</w:t>
      </w:r>
      <w:r w:rsidRPr="007D6C1B">
        <w:rPr>
          <w:sz w:val="20"/>
          <w:szCs w:val="20"/>
        </w:rPr>
        <w:t xml:space="preserve">s decision </w:t>
      </w:r>
      <w:r w:rsidR="00FD40BE">
        <w:rPr>
          <w:sz w:val="20"/>
          <w:szCs w:val="20"/>
        </w:rPr>
        <w:t xml:space="preserve">on whether </w:t>
      </w:r>
      <w:r w:rsidRPr="007D6C1B">
        <w:rPr>
          <w:sz w:val="20"/>
          <w:szCs w:val="20"/>
        </w:rPr>
        <w:t xml:space="preserve">to enable or disable the use of PEI for paging </w:t>
      </w:r>
      <w:r w:rsidR="00992A29">
        <w:rPr>
          <w:sz w:val="20"/>
          <w:szCs w:val="20"/>
        </w:rPr>
        <w:t>the</w:t>
      </w:r>
      <w:r w:rsidRPr="007D6C1B">
        <w:rPr>
          <w:sz w:val="20"/>
          <w:szCs w:val="20"/>
        </w:rPr>
        <w:t xml:space="preserve"> UE </w:t>
      </w:r>
      <w:r w:rsidR="007D6C1B" w:rsidRPr="007D6C1B">
        <w:rPr>
          <w:sz w:val="20"/>
          <w:szCs w:val="20"/>
        </w:rPr>
        <w:t xml:space="preserve">to gNB(s) </w:t>
      </w:r>
      <w:r w:rsidR="00992A29">
        <w:rPr>
          <w:sz w:val="20"/>
          <w:szCs w:val="20"/>
        </w:rPr>
        <w:t xml:space="preserve">in a number of ways. For example, </w:t>
      </w:r>
      <w:bookmarkStart w:id="2" w:name="_Hlk92405795"/>
      <w:r w:rsidR="0007793F">
        <w:rPr>
          <w:sz w:val="20"/>
          <w:szCs w:val="20"/>
        </w:rPr>
        <w:t>t</w:t>
      </w:r>
      <w:r w:rsidR="004D0688" w:rsidRPr="0007793F">
        <w:rPr>
          <w:sz w:val="20"/>
          <w:szCs w:val="20"/>
        </w:rPr>
        <w:t xml:space="preserve">he AMF </w:t>
      </w:r>
      <w:r w:rsidR="00FD40BE">
        <w:rPr>
          <w:sz w:val="20"/>
          <w:szCs w:val="20"/>
        </w:rPr>
        <w:t>can inform</w:t>
      </w:r>
      <w:r w:rsidRPr="0007793F">
        <w:rPr>
          <w:sz w:val="20"/>
          <w:szCs w:val="20"/>
        </w:rPr>
        <w:t xml:space="preserve"> </w:t>
      </w:r>
      <w:r w:rsidR="0007793F">
        <w:rPr>
          <w:sz w:val="20"/>
          <w:szCs w:val="20"/>
        </w:rPr>
        <w:t>its</w:t>
      </w:r>
      <w:r w:rsidRPr="0007793F">
        <w:rPr>
          <w:sz w:val="20"/>
          <w:szCs w:val="20"/>
        </w:rPr>
        <w:t xml:space="preserve"> </w:t>
      </w:r>
      <w:r w:rsidR="0007793F">
        <w:rPr>
          <w:sz w:val="20"/>
          <w:szCs w:val="20"/>
        </w:rPr>
        <w:t>decision</w:t>
      </w:r>
      <w:r w:rsidR="004D0688" w:rsidRPr="0007793F">
        <w:rPr>
          <w:sz w:val="20"/>
          <w:szCs w:val="20"/>
        </w:rPr>
        <w:t xml:space="preserve"> to gNB</w:t>
      </w:r>
      <w:r w:rsidR="009F45A9" w:rsidRPr="0007793F">
        <w:rPr>
          <w:sz w:val="20"/>
          <w:szCs w:val="20"/>
        </w:rPr>
        <w:t>s</w:t>
      </w:r>
      <w:r w:rsidR="004D0688" w:rsidRPr="0007793F">
        <w:rPr>
          <w:sz w:val="20"/>
          <w:szCs w:val="20"/>
        </w:rPr>
        <w:t xml:space="preserve"> </w:t>
      </w:r>
      <w:r w:rsidR="009F45A9" w:rsidRPr="0007793F">
        <w:rPr>
          <w:sz w:val="20"/>
          <w:szCs w:val="20"/>
        </w:rPr>
        <w:t xml:space="preserve">during </w:t>
      </w:r>
      <w:r w:rsidR="00AF3ED5" w:rsidRPr="0007793F">
        <w:rPr>
          <w:sz w:val="20"/>
          <w:szCs w:val="20"/>
        </w:rPr>
        <w:t>a</w:t>
      </w:r>
      <w:r w:rsidR="009F45A9" w:rsidRPr="0007793F">
        <w:rPr>
          <w:sz w:val="20"/>
          <w:szCs w:val="20"/>
        </w:rPr>
        <w:t xml:space="preserve"> paging procedure</w:t>
      </w:r>
      <w:r w:rsidR="004C77FC">
        <w:rPr>
          <w:sz w:val="20"/>
          <w:szCs w:val="20"/>
        </w:rPr>
        <w:t xml:space="preserve">, </w:t>
      </w:r>
      <w:r w:rsidR="002B3F03" w:rsidRPr="0007793F">
        <w:rPr>
          <w:sz w:val="20"/>
          <w:szCs w:val="20"/>
        </w:rPr>
        <w:t xml:space="preserve">when the AMF forwards a CN-initiated paging message for the UE to </w:t>
      </w:r>
      <w:r w:rsidR="004C77FC">
        <w:rPr>
          <w:sz w:val="20"/>
          <w:szCs w:val="20"/>
        </w:rPr>
        <w:t>the</w:t>
      </w:r>
      <w:r w:rsidR="002B3F03" w:rsidRPr="0007793F">
        <w:rPr>
          <w:sz w:val="20"/>
          <w:szCs w:val="20"/>
        </w:rPr>
        <w:t xml:space="preserve"> gNBs</w:t>
      </w:r>
      <w:r w:rsidR="009F45A9" w:rsidRPr="0007793F">
        <w:rPr>
          <w:sz w:val="20"/>
          <w:szCs w:val="20"/>
        </w:rPr>
        <w:t xml:space="preserve"> requesting them to page the U</w:t>
      </w:r>
      <w:r w:rsidR="00DD7BF5">
        <w:rPr>
          <w:sz w:val="20"/>
          <w:szCs w:val="20"/>
        </w:rPr>
        <w:t>E</w:t>
      </w:r>
      <w:r w:rsidR="00712884" w:rsidRPr="0007793F">
        <w:rPr>
          <w:sz w:val="20"/>
          <w:szCs w:val="20"/>
        </w:rPr>
        <w:t>.</w:t>
      </w:r>
      <w:r w:rsidR="0007793F">
        <w:rPr>
          <w:sz w:val="20"/>
          <w:szCs w:val="20"/>
        </w:rPr>
        <w:t xml:space="preserve"> For another example, t</w:t>
      </w:r>
      <w:r w:rsidR="00712884" w:rsidRPr="007D6C1B">
        <w:rPr>
          <w:sz w:val="20"/>
          <w:szCs w:val="20"/>
        </w:rPr>
        <w:t xml:space="preserve">he AMF may </w:t>
      </w:r>
      <w:r w:rsidR="00FD40BE">
        <w:rPr>
          <w:sz w:val="20"/>
          <w:szCs w:val="20"/>
        </w:rPr>
        <w:t>inform</w:t>
      </w:r>
      <w:r w:rsidR="00712884" w:rsidRPr="007D6C1B">
        <w:rPr>
          <w:sz w:val="20"/>
          <w:szCs w:val="20"/>
        </w:rPr>
        <w:t xml:space="preserve"> </w:t>
      </w:r>
      <w:r w:rsidR="0007793F">
        <w:rPr>
          <w:sz w:val="20"/>
          <w:szCs w:val="20"/>
        </w:rPr>
        <w:t>its</w:t>
      </w:r>
      <w:r w:rsidR="00712884" w:rsidRPr="007D6C1B">
        <w:rPr>
          <w:sz w:val="20"/>
          <w:szCs w:val="20"/>
        </w:rPr>
        <w:t xml:space="preserve"> </w:t>
      </w:r>
      <w:r w:rsidR="0007793F">
        <w:rPr>
          <w:sz w:val="20"/>
          <w:szCs w:val="20"/>
        </w:rPr>
        <w:t>decision</w:t>
      </w:r>
      <w:r w:rsidR="00712884" w:rsidRPr="007D6C1B">
        <w:rPr>
          <w:sz w:val="20"/>
          <w:szCs w:val="20"/>
        </w:rPr>
        <w:t xml:space="preserve"> to the </w:t>
      </w:r>
      <w:r w:rsidR="00327459">
        <w:rPr>
          <w:sz w:val="20"/>
          <w:szCs w:val="20"/>
        </w:rPr>
        <w:t xml:space="preserve">serving </w:t>
      </w:r>
      <w:r w:rsidR="00712884" w:rsidRPr="007D6C1B">
        <w:rPr>
          <w:sz w:val="20"/>
          <w:szCs w:val="20"/>
        </w:rPr>
        <w:t xml:space="preserve">gNB </w:t>
      </w:r>
      <w:r w:rsidR="00327459">
        <w:rPr>
          <w:sz w:val="20"/>
          <w:szCs w:val="20"/>
        </w:rPr>
        <w:t xml:space="preserve">of the UE </w:t>
      </w:r>
      <w:r w:rsidR="00712884">
        <w:rPr>
          <w:sz w:val="20"/>
          <w:szCs w:val="20"/>
        </w:rPr>
        <w:t xml:space="preserve">during </w:t>
      </w:r>
      <w:r w:rsidR="0007793F">
        <w:rPr>
          <w:sz w:val="20"/>
          <w:szCs w:val="20"/>
        </w:rPr>
        <w:t xml:space="preserve">a </w:t>
      </w:r>
      <w:r w:rsidR="00712884">
        <w:rPr>
          <w:sz w:val="20"/>
          <w:szCs w:val="20"/>
        </w:rPr>
        <w:t xml:space="preserve">UE context </w:t>
      </w:r>
      <w:r w:rsidR="00B93F71">
        <w:rPr>
          <w:sz w:val="20"/>
          <w:szCs w:val="20"/>
        </w:rPr>
        <w:t>management procedure</w:t>
      </w:r>
      <w:r w:rsidR="0007793F">
        <w:rPr>
          <w:sz w:val="20"/>
          <w:szCs w:val="20"/>
        </w:rPr>
        <w:t xml:space="preserve"> or a PDU session management procedure</w:t>
      </w:r>
      <w:r w:rsidR="003A7209">
        <w:rPr>
          <w:sz w:val="20"/>
          <w:szCs w:val="20"/>
        </w:rPr>
        <w:t>, or to a target gNB of the UE during a</w:t>
      </w:r>
      <w:r w:rsidR="000A5633">
        <w:rPr>
          <w:sz w:val="20"/>
          <w:szCs w:val="20"/>
        </w:rPr>
        <w:t>n</w:t>
      </w:r>
      <w:r w:rsidR="003A7209">
        <w:rPr>
          <w:sz w:val="20"/>
          <w:szCs w:val="20"/>
        </w:rPr>
        <w:t xml:space="preserve"> NG-interface-based handover procedure, </w:t>
      </w:r>
      <w:r w:rsidR="00F66352">
        <w:rPr>
          <w:sz w:val="20"/>
          <w:szCs w:val="20"/>
        </w:rPr>
        <w:t>while the UE is still in RRC_CONNECTED state</w:t>
      </w:r>
      <w:r w:rsidR="00712884">
        <w:rPr>
          <w:sz w:val="20"/>
          <w:szCs w:val="20"/>
        </w:rPr>
        <w:t>.</w:t>
      </w:r>
      <w:r w:rsidR="00B93F71">
        <w:rPr>
          <w:sz w:val="20"/>
          <w:szCs w:val="20"/>
        </w:rPr>
        <w:t xml:space="preserve"> </w:t>
      </w:r>
    </w:p>
    <w:p w14:paraId="69EC163F" w14:textId="1D874407" w:rsidR="005F25FF" w:rsidRPr="003A7209" w:rsidRDefault="003A7209" w:rsidP="0007793F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T</w:t>
      </w:r>
      <w:r w:rsidR="00B45AE4">
        <w:rPr>
          <w:sz w:val="20"/>
          <w:szCs w:val="20"/>
        </w:rPr>
        <w:t xml:space="preserve">he serving gNB stores the </w:t>
      </w:r>
      <w:r>
        <w:rPr>
          <w:sz w:val="20"/>
          <w:szCs w:val="20"/>
        </w:rPr>
        <w:t>AMF’s decision</w:t>
      </w:r>
      <w:r w:rsidR="00B45AE4">
        <w:rPr>
          <w:sz w:val="20"/>
          <w:szCs w:val="20"/>
        </w:rPr>
        <w:t xml:space="preserve"> as a part of the UE context.</w:t>
      </w:r>
      <w:r w:rsidR="00F66352">
        <w:rPr>
          <w:sz w:val="20"/>
          <w:szCs w:val="20"/>
        </w:rPr>
        <w:t xml:space="preserve"> </w:t>
      </w:r>
      <w:r w:rsidR="000A5633">
        <w:rPr>
          <w:sz w:val="20"/>
          <w:szCs w:val="20"/>
        </w:rPr>
        <w:t>The</w:t>
      </w:r>
      <w:r>
        <w:rPr>
          <w:sz w:val="20"/>
          <w:szCs w:val="20"/>
        </w:rPr>
        <w:t xml:space="preserve"> source gNB may </w:t>
      </w:r>
      <w:r w:rsidR="001975E1">
        <w:rPr>
          <w:sz w:val="20"/>
          <w:szCs w:val="20"/>
        </w:rPr>
        <w:t>forward</w:t>
      </w:r>
      <w:r>
        <w:rPr>
          <w:sz w:val="20"/>
          <w:szCs w:val="20"/>
        </w:rPr>
        <w:t xml:space="preserve"> the AMF’s decision to a target gNB during an Xn-interface-based handover procedure. </w:t>
      </w:r>
      <w:r w:rsidR="000A5633">
        <w:rPr>
          <w:sz w:val="20"/>
          <w:szCs w:val="20"/>
        </w:rPr>
        <w:t>After the UE has entered the RRC_IDLE or RRC_INACTIVE state, the</w:t>
      </w:r>
      <w:r>
        <w:rPr>
          <w:sz w:val="20"/>
          <w:szCs w:val="20"/>
        </w:rPr>
        <w:t xml:space="preserve"> last serving gNB </w:t>
      </w:r>
      <w:r w:rsidR="00242DB7">
        <w:rPr>
          <w:sz w:val="20"/>
          <w:szCs w:val="20"/>
        </w:rPr>
        <w:t xml:space="preserve">of the UE </w:t>
      </w:r>
      <w:r>
        <w:rPr>
          <w:sz w:val="20"/>
          <w:szCs w:val="20"/>
        </w:rPr>
        <w:t xml:space="preserve">may </w:t>
      </w:r>
      <w:r w:rsidR="003D234A">
        <w:rPr>
          <w:sz w:val="20"/>
          <w:szCs w:val="20"/>
        </w:rPr>
        <w:t>forward</w:t>
      </w:r>
      <w:r>
        <w:rPr>
          <w:sz w:val="20"/>
          <w:szCs w:val="20"/>
        </w:rPr>
        <w:t xml:space="preserve"> the AMF</w:t>
      </w:r>
      <w:r w:rsidR="00242DB7">
        <w:rPr>
          <w:sz w:val="20"/>
          <w:szCs w:val="20"/>
        </w:rPr>
        <w:t>’</w:t>
      </w:r>
      <w:r>
        <w:rPr>
          <w:sz w:val="20"/>
          <w:szCs w:val="20"/>
        </w:rPr>
        <w:t xml:space="preserve">s decision to its neighboring gNB(s) </w:t>
      </w:r>
      <w:r w:rsidR="00774F5A">
        <w:rPr>
          <w:sz w:val="20"/>
          <w:szCs w:val="20"/>
        </w:rPr>
        <w:t>when request</w:t>
      </w:r>
      <w:r w:rsidR="00371F9C">
        <w:rPr>
          <w:sz w:val="20"/>
          <w:szCs w:val="20"/>
        </w:rPr>
        <w:t>ing</w:t>
      </w:r>
      <w:r w:rsidR="00774F5A">
        <w:rPr>
          <w:sz w:val="20"/>
          <w:szCs w:val="20"/>
        </w:rPr>
        <w:t xml:space="preserve"> its neighboring gNB</w:t>
      </w:r>
      <w:r w:rsidR="00C52971">
        <w:rPr>
          <w:sz w:val="20"/>
          <w:szCs w:val="20"/>
        </w:rPr>
        <w:t>(s)</w:t>
      </w:r>
      <w:r w:rsidR="00774F5A">
        <w:rPr>
          <w:sz w:val="20"/>
          <w:szCs w:val="20"/>
        </w:rPr>
        <w:t xml:space="preserve"> to participate in </w:t>
      </w:r>
      <w:r w:rsidR="004C77FC">
        <w:rPr>
          <w:sz w:val="20"/>
          <w:szCs w:val="20"/>
        </w:rPr>
        <w:t xml:space="preserve">an </w:t>
      </w:r>
      <w:r w:rsidR="00C52971">
        <w:rPr>
          <w:sz w:val="20"/>
          <w:szCs w:val="20"/>
        </w:rPr>
        <w:t>RAN-initiated paging</w:t>
      </w:r>
      <w:r w:rsidR="004C77FC">
        <w:rPr>
          <w:sz w:val="20"/>
          <w:szCs w:val="20"/>
        </w:rPr>
        <w:t xml:space="preserve"> for the UE</w:t>
      </w:r>
      <w:r w:rsidR="00774F5A">
        <w:rPr>
          <w:sz w:val="20"/>
          <w:szCs w:val="20"/>
        </w:rPr>
        <w:t>.</w:t>
      </w:r>
    </w:p>
    <w:p w14:paraId="62544ACF" w14:textId="14AB3E12" w:rsidR="00010745" w:rsidRDefault="00010745" w:rsidP="00524245">
      <w:pPr>
        <w:spacing w:before="240" w:after="240"/>
        <w:jc w:val="left"/>
        <w:rPr>
          <w:sz w:val="20"/>
          <w:szCs w:val="20"/>
        </w:rPr>
      </w:pPr>
      <w:bookmarkStart w:id="3" w:name="_Hlk92406438"/>
      <w:bookmarkEnd w:id="2"/>
      <w:r>
        <w:rPr>
          <w:sz w:val="20"/>
          <w:szCs w:val="20"/>
        </w:rPr>
        <w:t>T</w:t>
      </w:r>
      <w:r w:rsidR="002C68E2" w:rsidRPr="007D6C1B">
        <w:rPr>
          <w:sz w:val="20"/>
          <w:szCs w:val="20"/>
        </w:rPr>
        <w:t xml:space="preserve">he AMF </w:t>
      </w:r>
      <w:r w:rsidR="000D28F0">
        <w:rPr>
          <w:sz w:val="20"/>
          <w:szCs w:val="20"/>
        </w:rPr>
        <w:t>may</w:t>
      </w:r>
      <w:r w:rsidR="002C68E2">
        <w:rPr>
          <w:sz w:val="20"/>
          <w:szCs w:val="20"/>
        </w:rPr>
        <w:t xml:space="preserve"> </w:t>
      </w:r>
      <w:r w:rsidR="00FD40BE">
        <w:rPr>
          <w:sz w:val="20"/>
          <w:szCs w:val="20"/>
        </w:rPr>
        <w:t xml:space="preserve">inform </w:t>
      </w:r>
      <w:r w:rsidR="002C68E2" w:rsidRPr="007D6C1B">
        <w:rPr>
          <w:sz w:val="20"/>
          <w:szCs w:val="20"/>
        </w:rPr>
        <w:t xml:space="preserve">its decision </w:t>
      </w:r>
      <w:r>
        <w:rPr>
          <w:sz w:val="20"/>
          <w:szCs w:val="20"/>
        </w:rPr>
        <w:t xml:space="preserve">on whether </w:t>
      </w:r>
      <w:r w:rsidR="002C68E2" w:rsidRPr="007D6C1B">
        <w:rPr>
          <w:sz w:val="20"/>
          <w:szCs w:val="20"/>
        </w:rPr>
        <w:t xml:space="preserve">to enable or disable the use of PEI </w:t>
      </w:r>
      <w:r w:rsidR="00272E46">
        <w:rPr>
          <w:sz w:val="20"/>
          <w:szCs w:val="20"/>
        </w:rPr>
        <w:t>in</w:t>
      </w:r>
      <w:r w:rsidR="002C68E2" w:rsidRPr="007D6C1B">
        <w:rPr>
          <w:sz w:val="20"/>
          <w:szCs w:val="20"/>
        </w:rPr>
        <w:t xml:space="preserve"> paging </w:t>
      </w:r>
      <w:r w:rsidR="00C52971">
        <w:rPr>
          <w:sz w:val="20"/>
          <w:szCs w:val="20"/>
        </w:rPr>
        <w:t>the</w:t>
      </w:r>
      <w:r w:rsidR="002C68E2" w:rsidRPr="007D6C1B">
        <w:rPr>
          <w:sz w:val="20"/>
          <w:szCs w:val="20"/>
        </w:rPr>
        <w:t xml:space="preserve"> UE </w:t>
      </w:r>
      <w:r w:rsidR="00FD40BE">
        <w:rPr>
          <w:sz w:val="20"/>
          <w:szCs w:val="20"/>
        </w:rPr>
        <w:t xml:space="preserve">to the UE </w:t>
      </w:r>
      <w:r w:rsidR="00272E46">
        <w:rPr>
          <w:sz w:val="20"/>
          <w:szCs w:val="20"/>
        </w:rPr>
        <w:t>via</w:t>
      </w:r>
      <w:r w:rsidR="00D54967">
        <w:rPr>
          <w:sz w:val="20"/>
          <w:szCs w:val="20"/>
        </w:rPr>
        <w:t xml:space="preserve"> a</w:t>
      </w:r>
      <w:r w:rsidR="00C4558B" w:rsidRPr="00C4558B">
        <w:rPr>
          <w:sz w:val="20"/>
          <w:szCs w:val="20"/>
        </w:rPr>
        <w:t xml:space="preserve"> dedicated NAS signaling,  e.g., </w:t>
      </w:r>
      <w:r w:rsidR="00A71989">
        <w:rPr>
          <w:sz w:val="20"/>
          <w:szCs w:val="20"/>
        </w:rPr>
        <w:t xml:space="preserve">in </w:t>
      </w:r>
      <w:r w:rsidR="00C4558B" w:rsidRPr="00C4558B">
        <w:rPr>
          <w:sz w:val="20"/>
          <w:szCs w:val="20"/>
        </w:rPr>
        <w:t xml:space="preserve">a </w:t>
      </w:r>
      <w:r w:rsidR="00E53005">
        <w:rPr>
          <w:sz w:val="20"/>
          <w:szCs w:val="20"/>
        </w:rPr>
        <w:t xml:space="preserve">REGISTRATION ACCEPT or </w:t>
      </w:r>
      <w:r w:rsidR="00C4558B" w:rsidRPr="00C4558B">
        <w:rPr>
          <w:sz w:val="20"/>
          <w:szCs w:val="20"/>
        </w:rPr>
        <w:t xml:space="preserve">SERVICE ACCEPT message </w:t>
      </w:r>
      <w:r w:rsidR="00D54967">
        <w:rPr>
          <w:sz w:val="20"/>
          <w:szCs w:val="20"/>
        </w:rPr>
        <w:t>sent</w:t>
      </w:r>
      <w:r w:rsidR="00C4558B" w:rsidRPr="00C4558B">
        <w:rPr>
          <w:sz w:val="20"/>
          <w:szCs w:val="20"/>
        </w:rPr>
        <w:t xml:space="preserve"> during a </w:t>
      </w:r>
      <w:r w:rsidR="00E53005">
        <w:rPr>
          <w:sz w:val="20"/>
          <w:szCs w:val="20"/>
        </w:rPr>
        <w:t>registration request or s</w:t>
      </w:r>
      <w:r w:rsidR="00C4558B" w:rsidRPr="00C4558B">
        <w:rPr>
          <w:sz w:val="20"/>
          <w:szCs w:val="20"/>
        </w:rPr>
        <w:t>ervice request procedure</w:t>
      </w:r>
      <w:r w:rsidR="00DB0B7A">
        <w:rPr>
          <w:sz w:val="20"/>
          <w:szCs w:val="20"/>
        </w:rPr>
        <w:t xml:space="preserve">. </w:t>
      </w:r>
      <w:r w:rsidR="003D234A">
        <w:rPr>
          <w:sz w:val="20"/>
          <w:szCs w:val="20"/>
        </w:rPr>
        <w:t>Alternatively, t</w:t>
      </w:r>
      <w:r>
        <w:rPr>
          <w:sz w:val="20"/>
          <w:szCs w:val="20"/>
        </w:rPr>
        <w:t>he serving gNB of the UE</w:t>
      </w:r>
      <w:r w:rsidR="00C52971">
        <w:rPr>
          <w:sz w:val="20"/>
          <w:szCs w:val="20"/>
        </w:rPr>
        <w:t xml:space="preserve"> may </w:t>
      </w:r>
      <w:r w:rsidR="003D234A">
        <w:rPr>
          <w:sz w:val="20"/>
          <w:szCs w:val="20"/>
        </w:rPr>
        <w:t>forward</w:t>
      </w:r>
      <w:r w:rsidR="00C52971">
        <w:rPr>
          <w:sz w:val="20"/>
          <w:szCs w:val="20"/>
        </w:rPr>
        <w:t xml:space="preserve"> the AMF’s </w:t>
      </w:r>
      <w:r w:rsidR="008F378C">
        <w:rPr>
          <w:sz w:val="20"/>
          <w:szCs w:val="20"/>
        </w:rPr>
        <w:t>decision</w:t>
      </w:r>
      <w:r w:rsidR="00C52971">
        <w:rPr>
          <w:sz w:val="20"/>
          <w:szCs w:val="20"/>
        </w:rPr>
        <w:t xml:space="preserve"> to the UE via </w:t>
      </w:r>
      <w:r w:rsidR="00272E46">
        <w:rPr>
          <w:sz w:val="20"/>
          <w:szCs w:val="20"/>
        </w:rPr>
        <w:t xml:space="preserve">a </w:t>
      </w:r>
      <w:r w:rsidR="00C52971">
        <w:rPr>
          <w:sz w:val="20"/>
          <w:szCs w:val="20"/>
        </w:rPr>
        <w:t xml:space="preserve">dedicated RRC signaling, e.g., in the </w:t>
      </w:r>
      <w:proofErr w:type="spellStart"/>
      <w:r w:rsidR="00C52971" w:rsidRPr="00C52971">
        <w:rPr>
          <w:i/>
          <w:iCs/>
          <w:sz w:val="20"/>
          <w:szCs w:val="20"/>
        </w:rPr>
        <w:t>RRCRelease</w:t>
      </w:r>
      <w:proofErr w:type="spellEnd"/>
      <w:r w:rsidR="00C52971">
        <w:rPr>
          <w:sz w:val="20"/>
          <w:szCs w:val="20"/>
        </w:rPr>
        <w:t xml:space="preserve"> message </w:t>
      </w:r>
      <w:r w:rsidR="00DB0B7A">
        <w:rPr>
          <w:sz w:val="20"/>
          <w:szCs w:val="20"/>
        </w:rPr>
        <w:t xml:space="preserve">when </w:t>
      </w:r>
      <w:r w:rsidR="00242DB7">
        <w:rPr>
          <w:sz w:val="20"/>
          <w:szCs w:val="20"/>
        </w:rPr>
        <w:t xml:space="preserve">the serving gNB </w:t>
      </w:r>
      <w:r w:rsidR="00DB0B7A">
        <w:rPr>
          <w:sz w:val="20"/>
          <w:szCs w:val="20"/>
        </w:rPr>
        <w:t>release</w:t>
      </w:r>
      <w:r w:rsidR="00242DB7">
        <w:rPr>
          <w:sz w:val="20"/>
          <w:szCs w:val="20"/>
        </w:rPr>
        <w:t>s</w:t>
      </w:r>
      <w:r w:rsidR="00DB0B7A">
        <w:rPr>
          <w:sz w:val="20"/>
          <w:szCs w:val="20"/>
        </w:rPr>
        <w:t xml:space="preserve"> the UE into the RRC_IDLE or RRC_INACTIVE state</w:t>
      </w:r>
      <w:r w:rsidR="00C52971">
        <w:rPr>
          <w:sz w:val="20"/>
          <w:szCs w:val="20"/>
        </w:rPr>
        <w:t>.</w:t>
      </w:r>
    </w:p>
    <w:p w14:paraId="63BB20D4" w14:textId="7C2D1108" w:rsidR="00C52971" w:rsidRDefault="00C52971" w:rsidP="00524245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A complete solution </w:t>
      </w:r>
      <w:r w:rsidR="00E37194">
        <w:rPr>
          <w:sz w:val="20"/>
          <w:szCs w:val="20"/>
        </w:rPr>
        <w:t xml:space="preserve">would </w:t>
      </w:r>
      <w:r>
        <w:rPr>
          <w:sz w:val="20"/>
          <w:szCs w:val="20"/>
        </w:rPr>
        <w:t xml:space="preserve">require </w:t>
      </w:r>
      <w:r w:rsidR="00E37194">
        <w:rPr>
          <w:sz w:val="20"/>
          <w:szCs w:val="20"/>
        </w:rPr>
        <w:t xml:space="preserve">standardization efforts in SA2 and RAN3, and potentially </w:t>
      </w:r>
      <w:r w:rsidR="0036559C">
        <w:rPr>
          <w:sz w:val="20"/>
          <w:szCs w:val="20"/>
        </w:rPr>
        <w:t xml:space="preserve">in </w:t>
      </w:r>
      <w:r w:rsidR="00E37194">
        <w:rPr>
          <w:sz w:val="20"/>
          <w:szCs w:val="20"/>
        </w:rPr>
        <w:t xml:space="preserve">RAN2 if dedicated RRC signaling is used for configuring the UE. </w:t>
      </w:r>
      <w:r w:rsidR="00D809BC">
        <w:rPr>
          <w:sz w:val="20"/>
          <w:szCs w:val="20"/>
        </w:rPr>
        <w:t xml:space="preserve">However, some initial study may be </w:t>
      </w:r>
      <w:r w:rsidR="006B3D7C">
        <w:rPr>
          <w:sz w:val="20"/>
          <w:szCs w:val="20"/>
        </w:rPr>
        <w:t>needed</w:t>
      </w:r>
      <w:r w:rsidR="00D809BC">
        <w:rPr>
          <w:sz w:val="20"/>
          <w:szCs w:val="20"/>
        </w:rPr>
        <w:t>, starting from SA2.</w:t>
      </w:r>
    </w:p>
    <w:bookmarkEnd w:id="3"/>
    <w:p w14:paraId="6F13D73E" w14:textId="462EF269" w:rsidR="00E62C8D" w:rsidRDefault="00E62C8D" w:rsidP="00E62C8D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1. RAN2 send an LS to request SA2 (cc RAN3) to</w:t>
      </w:r>
      <w:r w:rsidR="004A3ACE">
        <w:rPr>
          <w:b/>
          <w:bCs/>
          <w:sz w:val="20"/>
          <w:szCs w:val="20"/>
        </w:rPr>
        <w:t xml:space="preserve"> consider</w:t>
      </w:r>
      <w:r>
        <w:rPr>
          <w:b/>
          <w:bCs/>
          <w:sz w:val="20"/>
          <w:szCs w:val="20"/>
        </w:rPr>
        <w:t xml:space="preserve"> introduc</w:t>
      </w:r>
      <w:r w:rsidR="004A3ACE">
        <w:rPr>
          <w:b/>
          <w:bCs/>
          <w:sz w:val="20"/>
          <w:szCs w:val="20"/>
        </w:rPr>
        <w:t xml:space="preserve">ing </w:t>
      </w:r>
      <w:r w:rsidRPr="00313C65">
        <w:rPr>
          <w:b/>
          <w:bCs/>
          <w:sz w:val="20"/>
          <w:szCs w:val="20"/>
        </w:rPr>
        <w:t xml:space="preserve">a mechanism for the network to control (i.e., enable or disable) the use of PEI </w:t>
      </w:r>
      <w:r w:rsidR="00B25A12">
        <w:rPr>
          <w:b/>
          <w:bCs/>
          <w:sz w:val="20"/>
          <w:szCs w:val="20"/>
        </w:rPr>
        <w:t xml:space="preserve">in paging a UE </w:t>
      </w:r>
      <w:r w:rsidRPr="00313C65">
        <w:rPr>
          <w:b/>
          <w:bCs/>
          <w:sz w:val="20"/>
          <w:szCs w:val="20"/>
        </w:rPr>
        <w:t xml:space="preserve">on an individual UE’s basis so that the use of PEI can be disabled for </w:t>
      </w:r>
      <w:r w:rsidR="00B25A12">
        <w:rPr>
          <w:b/>
          <w:bCs/>
          <w:sz w:val="20"/>
          <w:szCs w:val="20"/>
        </w:rPr>
        <w:t>the</w:t>
      </w:r>
      <w:r>
        <w:rPr>
          <w:b/>
          <w:bCs/>
          <w:sz w:val="20"/>
          <w:szCs w:val="20"/>
        </w:rPr>
        <w:t xml:space="preserve"> </w:t>
      </w:r>
      <w:r w:rsidRPr="00313C65">
        <w:rPr>
          <w:b/>
          <w:bCs/>
          <w:sz w:val="20"/>
          <w:szCs w:val="20"/>
        </w:rPr>
        <w:t>UE</w:t>
      </w:r>
      <w:r>
        <w:rPr>
          <w:b/>
          <w:bCs/>
          <w:sz w:val="20"/>
          <w:szCs w:val="20"/>
        </w:rPr>
        <w:t xml:space="preserve">, </w:t>
      </w:r>
      <w:r w:rsidRPr="00BF01BF">
        <w:rPr>
          <w:b/>
          <w:bCs/>
          <w:sz w:val="20"/>
          <w:szCs w:val="20"/>
        </w:rPr>
        <w:t xml:space="preserve">should the network determine that </w:t>
      </w:r>
      <w:r>
        <w:rPr>
          <w:b/>
          <w:bCs/>
          <w:sz w:val="20"/>
          <w:szCs w:val="20"/>
        </w:rPr>
        <w:t>a</w:t>
      </w:r>
      <w:r w:rsidRPr="00BF01BF">
        <w:rPr>
          <w:b/>
          <w:bCs/>
          <w:sz w:val="20"/>
          <w:szCs w:val="20"/>
        </w:rPr>
        <w:t xml:space="preserve"> delay requirement </w:t>
      </w:r>
      <w:r>
        <w:rPr>
          <w:b/>
          <w:bCs/>
          <w:sz w:val="20"/>
          <w:szCs w:val="20"/>
        </w:rPr>
        <w:t xml:space="preserve">of the UE </w:t>
      </w:r>
      <w:r w:rsidRPr="00BF01BF">
        <w:rPr>
          <w:b/>
          <w:bCs/>
          <w:sz w:val="20"/>
          <w:szCs w:val="20"/>
        </w:rPr>
        <w:t>may be violated if PEI is used in paging the UE</w:t>
      </w:r>
      <w:r w:rsidRPr="00313C65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</w:p>
    <w:p w14:paraId="673566EC" w14:textId="69E5287A" w:rsidR="00E62C8D" w:rsidRPr="0099769E" w:rsidRDefault="00E62C8D" w:rsidP="00E62C8D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 It is FFS</w:t>
      </w:r>
      <w:r w:rsidR="001D09D0">
        <w:rPr>
          <w:b/>
          <w:bCs/>
          <w:sz w:val="20"/>
          <w:szCs w:val="20"/>
        </w:rPr>
        <w:t xml:space="preserve"> whether </w:t>
      </w:r>
      <w:r>
        <w:rPr>
          <w:b/>
          <w:bCs/>
          <w:sz w:val="20"/>
          <w:szCs w:val="20"/>
        </w:rPr>
        <w:t>any RAN</w:t>
      </w:r>
      <w:r w:rsidR="006853B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signaling (such as dedicated RRC signaling for configuring the UE) is needed.</w:t>
      </w:r>
    </w:p>
    <w:p w14:paraId="18B94AA5" w14:textId="4F262795" w:rsidR="00157FC3" w:rsidRPr="00493C77" w:rsidRDefault="00747F48" w:rsidP="00493C77">
      <w:pPr>
        <w:pStyle w:val="Heading1"/>
      </w:pPr>
      <w:bookmarkStart w:id="4" w:name="_Ref129681832"/>
      <w:r w:rsidRPr="00493C77">
        <w:lastRenderedPageBreak/>
        <w:t>Conclusion</w:t>
      </w:r>
      <w:r w:rsidR="006B1FD5" w:rsidRPr="00493C77">
        <w:t>s</w:t>
      </w:r>
    </w:p>
    <w:p w14:paraId="6D5C8E1F" w14:textId="77777777" w:rsidR="008F378C" w:rsidRDefault="008F378C" w:rsidP="008F378C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Pr="00524245">
        <w:rPr>
          <w:b/>
          <w:bCs/>
          <w:sz w:val="20"/>
          <w:szCs w:val="20"/>
        </w:rPr>
        <w:t xml:space="preserve"> 1. </w:t>
      </w:r>
      <w:r>
        <w:rPr>
          <w:b/>
          <w:bCs/>
          <w:sz w:val="20"/>
          <w:szCs w:val="20"/>
        </w:rPr>
        <w:t>T</w:t>
      </w:r>
      <w:r w:rsidRPr="00524245">
        <w:rPr>
          <w:b/>
          <w:bCs/>
          <w:sz w:val="20"/>
          <w:szCs w:val="20"/>
        </w:rPr>
        <w:t xml:space="preserve">he </w:t>
      </w:r>
      <w:r w:rsidRPr="0088560D">
        <w:rPr>
          <w:b/>
          <w:bCs/>
          <w:sz w:val="20"/>
          <w:szCs w:val="20"/>
        </w:rPr>
        <w:t>average paging queuing delay is increased</w:t>
      </w:r>
      <w:r>
        <w:rPr>
          <w:b/>
          <w:bCs/>
          <w:sz w:val="20"/>
          <w:szCs w:val="20"/>
        </w:rPr>
        <w:t xml:space="preserve">, due to the use of PEI, </w:t>
      </w:r>
      <w:r w:rsidRPr="0088560D">
        <w:rPr>
          <w:b/>
          <w:bCs/>
          <w:sz w:val="20"/>
          <w:szCs w:val="20"/>
        </w:rPr>
        <w:t xml:space="preserve">by an amount equal to the time interval between the PEI-O and the PO of the UE, multiplied by the probability (P) that no PEI is sent or the PEI sent doesn’t indicate the subgroup of the UE, where P approximates to 1 when </w:t>
      </w:r>
      <w:r>
        <w:rPr>
          <w:b/>
          <w:bCs/>
          <w:sz w:val="20"/>
          <w:szCs w:val="20"/>
        </w:rPr>
        <w:t xml:space="preserve">the </w:t>
      </w:r>
      <w:r w:rsidRPr="0088560D">
        <w:rPr>
          <w:b/>
          <w:bCs/>
          <w:sz w:val="20"/>
          <w:szCs w:val="20"/>
        </w:rPr>
        <w:t>paging load is light or UE subgrouping has separated UEs well.</w:t>
      </w:r>
    </w:p>
    <w:p w14:paraId="3025DCFB" w14:textId="77777777" w:rsidR="008F378C" w:rsidRDefault="008F378C" w:rsidP="008F378C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Pr="00524245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2</w:t>
      </w:r>
      <w:r w:rsidRPr="00524245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For c</w:t>
      </w:r>
      <w:r w:rsidRPr="00313C65">
        <w:rPr>
          <w:b/>
          <w:bCs/>
          <w:sz w:val="20"/>
          <w:szCs w:val="20"/>
        </w:rPr>
        <w:t xml:space="preserve">ertain mission-critical data services, increasing the paging queuing delay by </w:t>
      </w:r>
      <w:r>
        <w:rPr>
          <w:b/>
          <w:bCs/>
          <w:sz w:val="20"/>
          <w:szCs w:val="20"/>
        </w:rPr>
        <w:t>1</w:t>
      </w:r>
      <w:r w:rsidRPr="00313C65">
        <w:rPr>
          <w:b/>
          <w:bCs/>
          <w:sz w:val="20"/>
          <w:szCs w:val="20"/>
        </w:rPr>
        <w:t xml:space="preserve">0, </w:t>
      </w:r>
      <w:r>
        <w:rPr>
          <w:b/>
          <w:bCs/>
          <w:sz w:val="20"/>
          <w:szCs w:val="20"/>
        </w:rPr>
        <w:t>3</w:t>
      </w:r>
      <w:r w:rsidRPr="00313C65">
        <w:rPr>
          <w:b/>
          <w:bCs/>
          <w:sz w:val="20"/>
          <w:szCs w:val="20"/>
        </w:rPr>
        <w:t xml:space="preserve">0, or </w:t>
      </w:r>
      <w:r>
        <w:rPr>
          <w:b/>
          <w:bCs/>
          <w:sz w:val="20"/>
          <w:szCs w:val="20"/>
        </w:rPr>
        <w:t>5</w:t>
      </w:r>
      <w:r w:rsidRPr="00313C65">
        <w:rPr>
          <w:b/>
          <w:bCs/>
          <w:sz w:val="20"/>
          <w:szCs w:val="20"/>
        </w:rPr>
        <w:t>0 msec due to the use of PEI in paging may not be acceptable.</w:t>
      </w:r>
    </w:p>
    <w:p w14:paraId="5D63E3AC" w14:textId="77777777" w:rsidR="008F378C" w:rsidRPr="002B253E" w:rsidRDefault="008F378C" w:rsidP="008F378C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Pr="00524245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3</w:t>
      </w:r>
      <w:r w:rsidRPr="00524245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  <w:r w:rsidRPr="002B253E">
        <w:rPr>
          <w:b/>
          <w:bCs/>
          <w:sz w:val="20"/>
          <w:szCs w:val="20"/>
        </w:rPr>
        <w:t>Currently, there is no means for the network to enable or disable the use of PEI on an individual UE’s basis.</w:t>
      </w:r>
    </w:p>
    <w:p w14:paraId="50274FBB" w14:textId="4CEE01A7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E0DCE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36A4648A" w14:textId="6FAB2606" w:rsidR="008F378C" w:rsidRDefault="008F378C" w:rsidP="008F378C">
      <w:pPr>
        <w:spacing w:before="240" w:after="240"/>
        <w:jc w:val="left"/>
        <w:rPr>
          <w:b/>
          <w:bCs/>
          <w:sz w:val="20"/>
          <w:szCs w:val="20"/>
        </w:rPr>
      </w:pPr>
      <w:bookmarkStart w:id="5" w:name="_Ref124589665"/>
      <w:bookmarkStart w:id="6" w:name="_Ref71620620"/>
      <w:bookmarkStart w:id="7" w:name="_Ref124671424"/>
      <w:r>
        <w:rPr>
          <w:b/>
          <w:bCs/>
          <w:sz w:val="20"/>
          <w:szCs w:val="20"/>
        </w:rPr>
        <w:t xml:space="preserve">Proposal 1. RAN2 send an LS to request SA2 (cc RAN3) to </w:t>
      </w:r>
      <w:r w:rsidR="004A3ACE">
        <w:rPr>
          <w:b/>
          <w:bCs/>
          <w:sz w:val="20"/>
          <w:szCs w:val="20"/>
        </w:rPr>
        <w:t xml:space="preserve">consider </w:t>
      </w:r>
      <w:r>
        <w:rPr>
          <w:b/>
          <w:bCs/>
          <w:sz w:val="20"/>
          <w:szCs w:val="20"/>
        </w:rPr>
        <w:t>introduc</w:t>
      </w:r>
      <w:r w:rsidR="004A3ACE">
        <w:rPr>
          <w:b/>
          <w:bCs/>
          <w:sz w:val="20"/>
          <w:szCs w:val="20"/>
        </w:rPr>
        <w:t>ing</w:t>
      </w:r>
      <w:r>
        <w:rPr>
          <w:b/>
          <w:bCs/>
          <w:sz w:val="20"/>
          <w:szCs w:val="20"/>
        </w:rPr>
        <w:t xml:space="preserve"> </w:t>
      </w:r>
      <w:r w:rsidRPr="00313C65">
        <w:rPr>
          <w:b/>
          <w:bCs/>
          <w:sz w:val="20"/>
          <w:szCs w:val="20"/>
        </w:rPr>
        <w:t xml:space="preserve">a mechanism for the network to control (i.e., enable or disable) the use of PEI </w:t>
      </w:r>
      <w:r w:rsidR="00B25A12">
        <w:rPr>
          <w:b/>
          <w:bCs/>
          <w:sz w:val="20"/>
          <w:szCs w:val="20"/>
        </w:rPr>
        <w:t xml:space="preserve">in paging a UE </w:t>
      </w:r>
      <w:r w:rsidRPr="00313C65">
        <w:rPr>
          <w:b/>
          <w:bCs/>
          <w:sz w:val="20"/>
          <w:szCs w:val="20"/>
        </w:rPr>
        <w:t xml:space="preserve">on an individual UE’s basis so that the use of PEI can be disabled for </w:t>
      </w:r>
      <w:r w:rsidR="00B25A12">
        <w:rPr>
          <w:b/>
          <w:bCs/>
          <w:sz w:val="20"/>
          <w:szCs w:val="20"/>
        </w:rPr>
        <w:t>the</w:t>
      </w:r>
      <w:r>
        <w:rPr>
          <w:b/>
          <w:bCs/>
          <w:sz w:val="20"/>
          <w:szCs w:val="20"/>
        </w:rPr>
        <w:t xml:space="preserve"> </w:t>
      </w:r>
      <w:r w:rsidRPr="00313C65">
        <w:rPr>
          <w:b/>
          <w:bCs/>
          <w:sz w:val="20"/>
          <w:szCs w:val="20"/>
        </w:rPr>
        <w:t>UE</w:t>
      </w:r>
      <w:r>
        <w:rPr>
          <w:b/>
          <w:bCs/>
          <w:sz w:val="20"/>
          <w:szCs w:val="20"/>
        </w:rPr>
        <w:t xml:space="preserve">, </w:t>
      </w:r>
      <w:r w:rsidRPr="00BF01BF">
        <w:rPr>
          <w:b/>
          <w:bCs/>
          <w:sz w:val="20"/>
          <w:szCs w:val="20"/>
        </w:rPr>
        <w:t xml:space="preserve">should the network determine that </w:t>
      </w:r>
      <w:r>
        <w:rPr>
          <w:b/>
          <w:bCs/>
          <w:sz w:val="20"/>
          <w:szCs w:val="20"/>
        </w:rPr>
        <w:t>a</w:t>
      </w:r>
      <w:r w:rsidRPr="00BF01BF">
        <w:rPr>
          <w:b/>
          <w:bCs/>
          <w:sz w:val="20"/>
          <w:szCs w:val="20"/>
        </w:rPr>
        <w:t xml:space="preserve"> delay requirement </w:t>
      </w:r>
      <w:r>
        <w:rPr>
          <w:b/>
          <w:bCs/>
          <w:sz w:val="20"/>
          <w:szCs w:val="20"/>
        </w:rPr>
        <w:t xml:space="preserve">of the UE </w:t>
      </w:r>
      <w:r w:rsidRPr="00BF01BF">
        <w:rPr>
          <w:b/>
          <w:bCs/>
          <w:sz w:val="20"/>
          <w:szCs w:val="20"/>
        </w:rPr>
        <w:t>may be violated if PEI is used in paging the UE</w:t>
      </w:r>
      <w:r w:rsidRPr="00313C65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</w:p>
    <w:p w14:paraId="5BB1E077" w14:textId="3150F380" w:rsidR="008F378C" w:rsidRPr="0099769E" w:rsidRDefault="008F378C" w:rsidP="008F378C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It is FFS </w:t>
      </w:r>
      <w:r w:rsidR="001D09D0">
        <w:rPr>
          <w:b/>
          <w:bCs/>
          <w:sz w:val="20"/>
          <w:szCs w:val="20"/>
        </w:rPr>
        <w:t>whether</w:t>
      </w:r>
      <w:r>
        <w:rPr>
          <w:b/>
          <w:bCs/>
          <w:sz w:val="20"/>
          <w:szCs w:val="20"/>
        </w:rPr>
        <w:t xml:space="preserve"> any RAN</w:t>
      </w:r>
      <w:r w:rsidR="0080153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signaling (such as dedicated RRC signaling for configuring the UE) is needed.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4"/>
    <w:bookmarkEnd w:id="5"/>
    <w:bookmarkEnd w:id="6"/>
    <w:bookmarkEnd w:id="7"/>
    <w:p w14:paraId="12910D52" w14:textId="06DEB8C0" w:rsidR="00B74132" w:rsidRDefault="00B74132" w:rsidP="00375103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B74132">
        <w:rPr>
          <w:rFonts w:eastAsiaTheme="minorEastAsia"/>
        </w:rPr>
        <w:t xml:space="preserve">R2-2111664_38.304 Running CR for </w:t>
      </w:r>
      <w:proofErr w:type="spellStart"/>
      <w:r w:rsidRPr="00B74132">
        <w:rPr>
          <w:rFonts w:eastAsiaTheme="minorEastAsia"/>
        </w:rPr>
        <w:t>ePowSav</w:t>
      </w:r>
      <w:proofErr w:type="spellEnd"/>
    </w:p>
    <w:sectPr w:rsidR="00B7413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CE43D" w14:textId="77777777" w:rsidR="00D9565C" w:rsidRDefault="00D9565C">
      <w:r>
        <w:separator/>
      </w:r>
    </w:p>
  </w:endnote>
  <w:endnote w:type="continuationSeparator" w:id="0">
    <w:p w14:paraId="25BA6F7A" w14:textId="77777777" w:rsidR="00D9565C" w:rsidRDefault="00D9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53C08" w14:textId="77777777" w:rsidR="00D9565C" w:rsidRDefault="00D9565C">
      <w:r>
        <w:separator/>
      </w:r>
    </w:p>
  </w:footnote>
  <w:footnote w:type="continuationSeparator" w:id="0">
    <w:p w14:paraId="1BB59A43" w14:textId="77777777" w:rsidR="00D9565C" w:rsidRDefault="00D95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672"/>
    <w:multiLevelType w:val="hybridMultilevel"/>
    <w:tmpl w:val="D512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DF65A1"/>
    <w:multiLevelType w:val="hybridMultilevel"/>
    <w:tmpl w:val="6C44EACA"/>
    <w:lvl w:ilvl="0" w:tplc="78D60D52">
      <w:start w:val="1"/>
      <w:numFmt w:val="lowerLetter"/>
      <w:lvlText w:val="%1."/>
      <w:lvlJc w:val="left"/>
      <w:pPr>
        <w:ind w:left="79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E72CA"/>
    <w:multiLevelType w:val="hybridMultilevel"/>
    <w:tmpl w:val="0C7420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65822"/>
    <w:multiLevelType w:val="hybridMultilevel"/>
    <w:tmpl w:val="BFE40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91A71"/>
    <w:multiLevelType w:val="hybridMultilevel"/>
    <w:tmpl w:val="544A1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2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04951"/>
    <w:multiLevelType w:val="hybridMultilevel"/>
    <w:tmpl w:val="F9106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D343EE"/>
    <w:multiLevelType w:val="hybridMultilevel"/>
    <w:tmpl w:val="F6B4FF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93A04"/>
    <w:multiLevelType w:val="hybridMultilevel"/>
    <w:tmpl w:val="FA90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402C3"/>
    <w:multiLevelType w:val="hybridMultilevel"/>
    <w:tmpl w:val="3F8E7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F2443"/>
    <w:multiLevelType w:val="hybridMultilevel"/>
    <w:tmpl w:val="9460D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132C3"/>
    <w:multiLevelType w:val="hybridMultilevel"/>
    <w:tmpl w:val="44B086A0"/>
    <w:lvl w:ilvl="0" w:tplc="2BD4F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4E1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DAE7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7C15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01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6EE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A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985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6C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36131DF"/>
    <w:multiLevelType w:val="hybridMultilevel"/>
    <w:tmpl w:val="E3107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3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32"/>
  </w:num>
  <w:num w:numId="4">
    <w:abstractNumId w:val="4"/>
  </w:num>
  <w:num w:numId="5">
    <w:abstractNumId w:val="17"/>
  </w:num>
  <w:num w:numId="6">
    <w:abstractNumId w:val="36"/>
  </w:num>
  <w:num w:numId="7">
    <w:abstractNumId w:val="9"/>
  </w:num>
  <w:num w:numId="8">
    <w:abstractNumId w:val="20"/>
  </w:num>
  <w:num w:numId="9">
    <w:abstractNumId w:val="21"/>
  </w:num>
  <w:num w:numId="10">
    <w:abstractNumId w:val="24"/>
  </w:num>
  <w:num w:numId="11">
    <w:abstractNumId w:val="22"/>
  </w:num>
  <w:num w:numId="12">
    <w:abstractNumId w:val="19"/>
  </w:num>
  <w:num w:numId="13">
    <w:abstractNumId w:val="37"/>
  </w:num>
  <w:num w:numId="14">
    <w:abstractNumId w:val="8"/>
  </w:num>
  <w:num w:numId="15">
    <w:abstractNumId w:val="2"/>
  </w:num>
  <w:num w:numId="16">
    <w:abstractNumId w:val="42"/>
  </w:num>
  <w:num w:numId="17">
    <w:abstractNumId w:val="35"/>
  </w:num>
  <w:num w:numId="18">
    <w:abstractNumId w:val="16"/>
  </w:num>
  <w:num w:numId="19">
    <w:abstractNumId w:val="26"/>
  </w:num>
  <w:num w:numId="20">
    <w:abstractNumId w:val="34"/>
  </w:num>
  <w:num w:numId="21">
    <w:abstractNumId w:val="3"/>
  </w:num>
  <w:num w:numId="22">
    <w:abstractNumId w:val="28"/>
  </w:num>
  <w:num w:numId="23">
    <w:abstractNumId w:val="1"/>
  </w:num>
  <w:num w:numId="24">
    <w:abstractNumId w:val="5"/>
  </w:num>
  <w:num w:numId="25">
    <w:abstractNumId w:val="41"/>
  </w:num>
  <w:num w:numId="26">
    <w:abstractNumId w:val="14"/>
  </w:num>
  <w:num w:numId="27">
    <w:abstractNumId w:val="6"/>
  </w:num>
  <w:num w:numId="28">
    <w:abstractNumId w:val="12"/>
  </w:num>
  <w:num w:numId="29">
    <w:abstractNumId w:val="43"/>
  </w:num>
  <w:num w:numId="30">
    <w:abstractNumId w:val="25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33"/>
  </w:num>
  <w:num w:numId="34">
    <w:abstractNumId w:val="0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31"/>
  </w:num>
  <w:num w:numId="38">
    <w:abstractNumId w:val="30"/>
  </w:num>
  <w:num w:numId="39">
    <w:abstractNumId w:val="29"/>
  </w:num>
  <w:num w:numId="40">
    <w:abstractNumId w:val="13"/>
  </w:num>
  <w:num w:numId="41">
    <w:abstractNumId w:val="7"/>
  </w:num>
  <w:num w:numId="42">
    <w:abstractNumId w:val="27"/>
  </w:num>
  <w:num w:numId="43">
    <w:abstractNumId w:val="38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745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788"/>
    <w:rsid w:val="00017D8A"/>
    <w:rsid w:val="000227D0"/>
    <w:rsid w:val="00022E3B"/>
    <w:rsid w:val="00023388"/>
    <w:rsid w:val="00023425"/>
    <w:rsid w:val="00023685"/>
    <w:rsid w:val="000241BE"/>
    <w:rsid w:val="000242F2"/>
    <w:rsid w:val="000243CA"/>
    <w:rsid w:val="000250BB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2C8"/>
    <w:rsid w:val="00060AB2"/>
    <w:rsid w:val="000612E1"/>
    <w:rsid w:val="000614FE"/>
    <w:rsid w:val="00061C7A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6F0"/>
    <w:rsid w:val="00074E86"/>
    <w:rsid w:val="00074F0A"/>
    <w:rsid w:val="0007557C"/>
    <w:rsid w:val="0007562F"/>
    <w:rsid w:val="00075934"/>
    <w:rsid w:val="00076097"/>
    <w:rsid w:val="00076541"/>
    <w:rsid w:val="00076E44"/>
    <w:rsid w:val="000772F4"/>
    <w:rsid w:val="000776EB"/>
    <w:rsid w:val="0007793F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5633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7DC"/>
    <w:rsid w:val="000C2FBD"/>
    <w:rsid w:val="000C3B0C"/>
    <w:rsid w:val="000C3F38"/>
    <w:rsid w:val="000C422D"/>
    <w:rsid w:val="000C47CC"/>
    <w:rsid w:val="000C4E91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28F0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7403"/>
    <w:rsid w:val="000E7A84"/>
    <w:rsid w:val="000F15BC"/>
    <w:rsid w:val="000F180A"/>
    <w:rsid w:val="000F1C92"/>
    <w:rsid w:val="000F28D6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179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7A9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5E58"/>
    <w:rsid w:val="001263AA"/>
    <w:rsid w:val="0012670D"/>
    <w:rsid w:val="001273F3"/>
    <w:rsid w:val="00130779"/>
    <w:rsid w:val="001307A1"/>
    <w:rsid w:val="00130A9F"/>
    <w:rsid w:val="00130C5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D21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6F5D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65C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99C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27D"/>
    <w:rsid w:val="001958EA"/>
    <w:rsid w:val="00195E0E"/>
    <w:rsid w:val="001972A9"/>
    <w:rsid w:val="001975E1"/>
    <w:rsid w:val="0019762B"/>
    <w:rsid w:val="00197FBC"/>
    <w:rsid w:val="001A01A5"/>
    <w:rsid w:val="001A0E0D"/>
    <w:rsid w:val="001A180D"/>
    <w:rsid w:val="001A1BAC"/>
    <w:rsid w:val="001A23CE"/>
    <w:rsid w:val="001A2C89"/>
    <w:rsid w:val="001A2E7F"/>
    <w:rsid w:val="001A378F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061D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914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77A"/>
    <w:rsid w:val="001C6819"/>
    <w:rsid w:val="001C69DA"/>
    <w:rsid w:val="001C6F06"/>
    <w:rsid w:val="001C75AF"/>
    <w:rsid w:val="001C7611"/>
    <w:rsid w:val="001D09D0"/>
    <w:rsid w:val="001D1851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6D70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BE4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5D1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33B5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DB7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3E4"/>
    <w:rsid w:val="002606D6"/>
    <w:rsid w:val="0026079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2E46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73C"/>
    <w:rsid w:val="00280AB1"/>
    <w:rsid w:val="00281141"/>
    <w:rsid w:val="00281274"/>
    <w:rsid w:val="0028164D"/>
    <w:rsid w:val="00281D29"/>
    <w:rsid w:val="0028344F"/>
    <w:rsid w:val="00283AD1"/>
    <w:rsid w:val="00284136"/>
    <w:rsid w:val="002846CE"/>
    <w:rsid w:val="00284B4D"/>
    <w:rsid w:val="00284BAE"/>
    <w:rsid w:val="00285374"/>
    <w:rsid w:val="002859AF"/>
    <w:rsid w:val="00285DED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2A0"/>
    <w:rsid w:val="002B1A69"/>
    <w:rsid w:val="002B1BD3"/>
    <w:rsid w:val="002B1F96"/>
    <w:rsid w:val="002B20D7"/>
    <w:rsid w:val="002B253E"/>
    <w:rsid w:val="002B2723"/>
    <w:rsid w:val="002B2DBC"/>
    <w:rsid w:val="002B2E4A"/>
    <w:rsid w:val="002B303A"/>
    <w:rsid w:val="002B3F03"/>
    <w:rsid w:val="002B538E"/>
    <w:rsid w:val="002B54EE"/>
    <w:rsid w:val="002B5DCA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68E2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52D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1FF1"/>
    <w:rsid w:val="002F281C"/>
    <w:rsid w:val="002F2999"/>
    <w:rsid w:val="002F2BAE"/>
    <w:rsid w:val="002F3868"/>
    <w:rsid w:val="002F3CDE"/>
    <w:rsid w:val="002F494F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D11"/>
    <w:rsid w:val="00300F00"/>
    <w:rsid w:val="003010CF"/>
    <w:rsid w:val="003018DF"/>
    <w:rsid w:val="00303440"/>
    <w:rsid w:val="0030366E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65"/>
    <w:rsid w:val="00313C7D"/>
    <w:rsid w:val="00316912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459"/>
    <w:rsid w:val="00327792"/>
    <w:rsid w:val="00330D56"/>
    <w:rsid w:val="003311E9"/>
    <w:rsid w:val="00331426"/>
    <w:rsid w:val="00331634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C06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37A"/>
    <w:rsid w:val="00345C56"/>
    <w:rsid w:val="00346012"/>
    <w:rsid w:val="0034638C"/>
    <w:rsid w:val="00346E2D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9C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1F9C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6F8"/>
    <w:rsid w:val="00387BE2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0DC"/>
    <w:rsid w:val="003A6A98"/>
    <w:rsid w:val="003A7209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2D6E"/>
    <w:rsid w:val="003C4503"/>
    <w:rsid w:val="003C56F7"/>
    <w:rsid w:val="003C5E6B"/>
    <w:rsid w:val="003C5ED6"/>
    <w:rsid w:val="003C6B81"/>
    <w:rsid w:val="003C70F1"/>
    <w:rsid w:val="003C7AD7"/>
    <w:rsid w:val="003D0992"/>
    <w:rsid w:val="003D0FC3"/>
    <w:rsid w:val="003D1902"/>
    <w:rsid w:val="003D1B5D"/>
    <w:rsid w:val="003D234A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1A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AC6"/>
    <w:rsid w:val="00426B27"/>
    <w:rsid w:val="00427A28"/>
    <w:rsid w:val="00427C2C"/>
    <w:rsid w:val="00430A2D"/>
    <w:rsid w:val="004312B0"/>
    <w:rsid w:val="00431505"/>
    <w:rsid w:val="0043190D"/>
    <w:rsid w:val="00431AF0"/>
    <w:rsid w:val="0043213A"/>
    <w:rsid w:val="0043260B"/>
    <w:rsid w:val="00432B37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E51"/>
    <w:rsid w:val="004434F4"/>
    <w:rsid w:val="00443511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4FD4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AA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ACE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A7AD5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034A"/>
    <w:rsid w:val="004C1840"/>
    <w:rsid w:val="004C1BC5"/>
    <w:rsid w:val="004C1CBE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7FC"/>
    <w:rsid w:val="004C7948"/>
    <w:rsid w:val="004C7BB8"/>
    <w:rsid w:val="004C7C60"/>
    <w:rsid w:val="004C7FF5"/>
    <w:rsid w:val="004D0688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6C1F"/>
    <w:rsid w:val="004E6CA2"/>
    <w:rsid w:val="004E6CE6"/>
    <w:rsid w:val="004E743E"/>
    <w:rsid w:val="004E7A42"/>
    <w:rsid w:val="004E7B74"/>
    <w:rsid w:val="004E7C7A"/>
    <w:rsid w:val="004E7F04"/>
    <w:rsid w:val="004F0DC1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DD5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3C2B"/>
    <w:rsid w:val="00524204"/>
    <w:rsid w:val="00524245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886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5A8"/>
    <w:rsid w:val="005638D4"/>
    <w:rsid w:val="005643CA"/>
    <w:rsid w:val="00564526"/>
    <w:rsid w:val="005656ED"/>
    <w:rsid w:val="00565C9E"/>
    <w:rsid w:val="00566544"/>
    <w:rsid w:val="00566608"/>
    <w:rsid w:val="00566C83"/>
    <w:rsid w:val="0056705C"/>
    <w:rsid w:val="005674E3"/>
    <w:rsid w:val="00567C71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201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6F0"/>
    <w:rsid w:val="0058590B"/>
    <w:rsid w:val="00585DB4"/>
    <w:rsid w:val="00585F5B"/>
    <w:rsid w:val="0058620A"/>
    <w:rsid w:val="0058671A"/>
    <w:rsid w:val="00586C10"/>
    <w:rsid w:val="00586DF9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CBF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105"/>
    <w:rsid w:val="005C28FA"/>
    <w:rsid w:val="005C3F1F"/>
    <w:rsid w:val="005C40F4"/>
    <w:rsid w:val="005C42C2"/>
    <w:rsid w:val="005C43BE"/>
    <w:rsid w:val="005C44F3"/>
    <w:rsid w:val="005C4916"/>
    <w:rsid w:val="005C4BBD"/>
    <w:rsid w:val="005C5700"/>
    <w:rsid w:val="005C6E4A"/>
    <w:rsid w:val="005C712D"/>
    <w:rsid w:val="005C7827"/>
    <w:rsid w:val="005C7C75"/>
    <w:rsid w:val="005C7F5C"/>
    <w:rsid w:val="005D0784"/>
    <w:rsid w:val="005D07B5"/>
    <w:rsid w:val="005D09FA"/>
    <w:rsid w:val="005D0CE6"/>
    <w:rsid w:val="005D0E4F"/>
    <w:rsid w:val="005D15D6"/>
    <w:rsid w:val="005D1E32"/>
    <w:rsid w:val="005D1E47"/>
    <w:rsid w:val="005D206B"/>
    <w:rsid w:val="005D22B7"/>
    <w:rsid w:val="005D265B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2D6"/>
    <w:rsid w:val="005E1D5A"/>
    <w:rsid w:val="005E1FBC"/>
    <w:rsid w:val="005E234A"/>
    <w:rsid w:val="005E2867"/>
    <w:rsid w:val="005E35CC"/>
    <w:rsid w:val="005E371E"/>
    <w:rsid w:val="005E3B3F"/>
    <w:rsid w:val="005E43E9"/>
    <w:rsid w:val="005E5036"/>
    <w:rsid w:val="005E50CE"/>
    <w:rsid w:val="005E53F9"/>
    <w:rsid w:val="005E5547"/>
    <w:rsid w:val="005E7614"/>
    <w:rsid w:val="005E775D"/>
    <w:rsid w:val="005F03DA"/>
    <w:rsid w:val="005F0551"/>
    <w:rsid w:val="005F0A43"/>
    <w:rsid w:val="005F0E91"/>
    <w:rsid w:val="005F25A0"/>
    <w:rsid w:val="005F25FF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23BC"/>
    <w:rsid w:val="006130F7"/>
    <w:rsid w:val="00613AF8"/>
    <w:rsid w:val="00613D8E"/>
    <w:rsid w:val="006142E0"/>
    <w:rsid w:val="0061444B"/>
    <w:rsid w:val="00616112"/>
    <w:rsid w:val="006173CF"/>
    <w:rsid w:val="006175A0"/>
    <w:rsid w:val="006177E7"/>
    <w:rsid w:val="00620035"/>
    <w:rsid w:val="006205CA"/>
    <w:rsid w:val="006216C4"/>
    <w:rsid w:val="00621F53"/>
    <w:rsid w:val="006225CD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9A2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37B7E"/>
    <w:rsid w:val="00642BAA"/>
    <w:rsid w:val="006433C0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ACD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43F"/>
    <w:rsid w:val="00670F07"/>
    <w:rsid w:val="006710F1"/>
    <w:rsid w:val="006716DA"/>
    <w:rsid w:val="00671804"/>
    <w:rsid w:val="0067195D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3BB"/>
    <w:rsid w:val="0068545E"/>
    <w:rsid w:val="00685FD4"/>
    <w:rsid w:val="006860A2"/>
    <w:rsid w:val="00686612"/>
    <w:rsid w:val="0068661E"/>
    <w:rsid w:val="00687BDE"/>
    <w:rsid w:val="0069069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409"/>
    <w:rsid w:val="00695562"/>
    <w:rsid w:val="00695887"/>
    <w:rsid w:val="006967ED"/>
    <w:rsid w:val="00697733"/>
    <w:rsid w:val="006A1B19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D8C"/>
    <w:rsid w:val="006B2F57"/>
    <w:rsid w:val="006B3B9C"/>
    <w:rsid w:val="006B3D7C"/>
    <w:rsid w:val="006B475C"/>
    <w:rsid w:val="006B506C"/>
    <w:rsid w:val="006B555A"/>
    <w:rsid w:val="006B58F4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3CA5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C8C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472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884"/>
    <w:rsid w:val="00712C42"/>
    <w:rsid w:val="0071312C"/>
    <w:rsid w:val="0071357A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25B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63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66F"/>
    <w:rsid w:val="007739C6"/>
    <w:rsid w:val="00774889"/>
    <w:rsid w:val="00774F5A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3E92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04"/>
    <w:rsid w:val="0079162F"/>
    <w:rsid w:val="00791FD6"/>
    <w:rsid w:val="00792512"/>
    <w:rsid w:val="00792D06"/>
    <w:rsid w:val="00794924"/>
    <w:rsid w:val="0079506E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930"/>
    <w:rsid w:val="007A4D04"/>
    <w:rsid w:val="007A4D54"/>
    <w:rsid w:val="007A59F6"/>
    <w:rsid w:val="007A7A96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B95"/>
    <w:rsid w:val="007B2D3B"/>
    <w:rsid w:val="007B2E96"/>
    <w:rsid w:val="007B3E49"/>
    <w:rsid w:val="007B52CD"/>
    <w:rsid w:val="007B6676"/>
    <w:rsid w:val="007B6AFA"/>
    <w:rsid w:val="007B6E16"/>
    <w:rsid w:val="007B7557"/>
    <w:rsid w:val="007B7B02"/>
    <w:rsid w:val="007B7DC1"/>
    <w:rsid w:val="007B7EDB"/>
    <w:rsid w:val="007C0718"/>
    <w:rsid w:val="007C19AD"/>
    <w:rsid w:val="007C1F83"/>
    <w:rsid w:val="007C2862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73C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6C1B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2F49"/>
    <w:rsid w:val="007E44FE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4FC0"/>
    <w:rsid w:val="007F50B1"/>
    <w:rsid w:val="007F58C6"/>
    <w:rsid w:val="007F5EA9"/>
    <w:rsid w:val="007F5EC6"/>
    <w:rsid w:val="007F62B9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53B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DAC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46E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BFB"/>
    <w:rsid w:val="00846DC0"/>
    <w:rsid w:val="008470A4"/>
    <w:rsid w:val="0084749C"/>
    <w:rsid w:val="008474A7"/>
    <w:rsid w:val="008506B6"/>
    <w:rsid w:val="0085083C"/>
    <w:rsid w:val="00850AE0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60D"/>
    <w:rsid w:val="00885E13"/>
    <w:rsid w:val="00886333"/>
    <w:rsid w:val="008865C8"/>
    <w:rsid w:val="00886DA1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002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C7F4C"/>
    <w:rsid w:val="008D0863"/>
    <w:rsid w:val="008D0AFB"/>
    <w:rsid w:val="008D0B31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382"/>
    <w:rsid w:val="008E46AE"/>
    <w:rsid w:val="008E48C4"/>
    <w:rsid w:val="008E50AB"/>
    <w:rsid w:val="008E5BF2"/>
    <w:rsid w:val="008E5C81"/>
    <w:rsid w:val="008E7562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1F6"/>
    <w:rsid w:val="008F378C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24DE"/>
    <w:rsid w:val="00903802"/>
    <w:rsid w:val="00904640"/>
    <w:rsid w:val="00904748"/>
    <w:rsid w:val="00904A69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0A"/>
    <w:rsid w:val="00915757"/>
    <w:rsid w:val="009159B3"/>
    <w:rsid w:val="00915FC5"/>
    <w:rsid w:val="0091607D"/>
    <w:rsid w:val="00916181"/>
    <w:rsid w:val="00916198"/>
    <w:rsid w:val="009177E3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0F6B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E5A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57B0D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67AA6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4424"/>
    <w:rsid w:val="0097597B"/>
    <w:rsid w:val="00975EA3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1F6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A29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9769E"/>
    <w:rsid w:val="009A010D"/>
    <w:rsid w:val="009A0148"/>
    <w:rsid w:val="009A0C6F"/>
    <w:rsid w:val="009A14EF"/>
    <w:rsid w:val="009A1729"/>
    <w:rsid w:val="009A17DA"/>
    <w:rsid w:val="009A2137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1F42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CFB"/>
    <w:rsid w:val="009D0D47"/>
    <w:rsid w:val="009D0F66"/>
    <w:rsid w:val="009D1A06"/>
    <w:rsid w:val="009D1BA4"/>
    <w:rsid w:val="009D20A9"/>
    <w:rsid w:val="009D20C9"/>
    <w:rsid w:val="009D20D1"/>
    <w:rsid w:val="009D22E4"/>
    <w:rsid w:val="009D22F7"/>
    <w:rsid w:val="009D2CD1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5A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5AE1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46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6F8E"/>
    <w:rsid w:val="00A37FE7"/>
    <w:rsid w:val="00A40522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42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1629"/>
    <w:rsid w:val="00A7198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1AD9"/>
    <w:rsid w:val="00A82D58"/>
    <w:rsid w:val="00A8399D"/>
    <w:rsid w:val="00A83E3D"/>
    <w:rsid w:val="00A83FD8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7CE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78D"/>
    <w:rsid w:val="00AB5ADF"/>
    <w:rsid w:val="00AB5E57"/>
    <w:rsid w:val="00AB5FB8"/>
    <w:rsid w:val="00AB6B95"/>
    <w:rsid w:val="00AB6DE4"/>
    <w:rsid w:val="00AB725F"/>
    <w:rsid w:val="00AC00EF"/>
    <w:rsid w:val="00AC0705"/>
    <w:rsid w:val="00AC109B"/>
    <w:rsid w:val="00AC120D"/>
    <w:rsid w:val="00AC1708"/>
    <w:rsid w:val="00AC17C1"/>
    <w:rsid w:val="00AC19AE"/>
    <w:rsid w:val="00AC209E"/>
    <w:rsid w:val="00AC2667"/>
    <w:rsid w:val="00AC278E"/>
    <w:rsid w:val="00AC33D9"/>
    <w:rsid w:val="00AC3E6C"/>
    <w:rsid w:val="00AC4A00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3DB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3ED5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C14"/>
    <w:rsid w:val="00B04D88"/>
    <w:rsid w:val="00B064FF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7B0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A12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5AE4"/>
    <w:rsid w:val="00B46082"/>
    <w:rsid w:val="00B46846"/>
    <w:rsid w:val="00B46976"/>
    <w:rsid w:val="00B46E3B"/>
    <w:rsid w:val="00B4732E"/>
    <w:rsid w:val="00B47A15"/>
    <w:rsid w:val="00B505C1"/>
    <w:rsid w:val="00B506AC"/>
    <w:rsid w:val="00B509A8"/>
    <w:rsid w:val="00B51130"/>
    <w:rsid w:val="00B5115A"/>
    <w:rsid w:val="00B51542"/>
    <w:rsid w:val="00B51D1D"/>
    <w:rsid w:val="00B52378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4992"/>
    <w:rsid w:val="00B656BE"/>
    <w:rsid w:val="00B657E1"/>
    <w:rsid w:val="00B659C5"/>
    <w:rsid w:val="00B663EA"/>
    <w:rsid w:val="00B66559"/>
    <w:rsid w:val="00B667A6"/>
    <w:rsid w:val="00B66B63"/>
    <w:rsid w:val="00B70D58"/>
    <w:rsid w:val="00B70E15"/>
    <w:rsid w:val="00B711CE"/>
    <w:rsid w:val="00B71CA8"/>
    <w:rsid w:val="00B71DC8"/>
    <w:rsid w:val="00B73A6A"/>
    <w:rsid w:val="00B74132"/>
    <w:rsid w:val="00B746C6"/>
    <w:rsid w:val="00B74B5B"/>
    <w:rsid w:val="00B75343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B7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3F71"/>
    <w:rsid w:val="00B94252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C52"/>
    <w:rsid w:val="00BB5FCB"/>
    <w:rsid w:val="00BB604B"/>
    <w:rsid w:val="00BB7BCC"/>
    <w:rsid w:val="00BC00EC"/>
    <w:rsid w:val="00BC01DD"/>
    <w:rsid w:val="00BC04E1"/>
    <w:rsid w:val="00BC08C5"/>
    <w:rsid w:val="00BC0AE8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5899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1BF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122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1FA0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558B"/>
    <w:rsid w:val="00C46555"/>
    <w:rsid w:val="00C46B15"/>
    <w:rsid w:val="00C46F4F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2971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691"/>
    <w:rsid w:val="00C820BD"/>
    <w:rsid w:val="00C832DC"/>
    <w:rsid w:val="00C8377F"/>
    <w:rsid w:val="00C83D54"/>
    <w:rsid w:val="00C844EE"/>
    <w:rsid w:val="00C852A9"/>
    <w:rsid w:val="00C8646D"/>
    <w:rsid w:val="00C864DD"/>
    <w:rsid w:val="00C876BC"/>
    <w:rsid w:val="00C90C15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2D3"/>
    <w:rsid w:val="00C97872"/>
    <w:rsid w:val="00CA0532"/>
    <w:rsid w:val="00CA17DE"/>
    <w:rsid w:val="00CA221D"/>
    <w:rsid w:val="00CA2241"/>
    <w:rsid w:val="00CA3BBB"/>
    <w:rsid w:val="00CA3CDD"/>
    <w:rsid w:val="00CA403B"/>
    <w:rsid w:val="00CA45E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1D7"/>
    <w:rsid w:val="00CB787A"/>
    <w:rsid w:val="00CC07BB"/>
    <w:rsid w:val="00CC0C4A"/>
    <w:rsid w:val="00CC12E2"/>
    <w:rsid w:val="00CC17F0"/>
    <w:rsid w:val="00CC1853"/>
    <w:rsid w:val="00CC1D13"/>
    <w:rsid w:val="00CC1FAE"/>
    <w:rsid w:val="00CC2E71"/>
    <w:rsid w:val="00CC3A23"/>
    <w:rsid w:val="00CC3BD5"/>
    <w:rsid w:val="00CC3CD6"/>
    <w:rsid w:val="00CC426A"/>
    <w:rsid w:val="00CC4FBF"/>
    <w:rsid w:val="00CC50D9"/>
    <w:rsid w:val="00CC687E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36923"/>
    <w:rsid w:val="00D37CE2"/>
    <w:rsid w:val="00D41005"/>
    <w:rsid w:val="00D4136F"/>
    <w:rsid w:val="00D41CC4"/>
    <w:rsid w:val="00D42566"/>
    <w:rsid w:val="00D42C77"/>
    <w:rsid w:val="00D437D8"/>
    <w:rsid w:val="00D44994"/>
    <w:rsid w:val="00D45858"/>
    <w:rsid w:val="00D45C8D"/>
    <w:rsid w:val="00D45DF3"/>
    <w:rsid w:val="00D46174"/>
    <w:rsid w:val="00D47636"/>
    <w:rsid w:val="00D47D4B"/>
    <w:rsid w:val="00D47DD0"/>
    <w:rsid w:val="00D50183"/>
    <w:rsid w:val="00D509CE"/>
    <w:rsid w:val="00D51D12"/>
    <w:rsid w:val="00D51EED"/>
    <w:rsid w:val="00D51FA9"/>
    <w:rsid w:val="00D52F94"/>
    <w:rsid w:val="00D5362B"/>
    <w:rsid w:val="00D53A6D"/>
    <w:rsid w:val="00D54967"/>
    <w:rsid w:val="00D55072"/>
    <w:rsid w:val="00D551B5"/>
    <w:rsid w:val="00D562C7"/>
    <w:rsid w:val="00D5660F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332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8C4"/>
    <w:rsid w:val="00D679CF"/>
    <w:rsid w:val="00D679D3"/>
    <w:rsid w:val="00D7012A"/>
    <w:rsid w:val="00D706C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6C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66A"/>
    <w:rsid w:val="00D777D7"/>
    <w:rsid w:val="00D77948"/>
    <w:rsid w:val="00D807ED"/>
    <w:rsid w:val="00D809BC"/>
    <w:rsid w:val="00D80AB8"/>
    <w:rsid w:val="00D80FEC"/>
    <w:rsid w:val="00D81231"/>
    <w:rsid w:val="00D8146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65C"/>
    <w:rsid w:val="00D95900"/>
    <w:rsid w:val="00D9683C"/>
    <w:rsid w:val="00D96F71"/>
    <w:rsid w:val="00D96FA1"/>
    <w:rsid w:val="00D977A0"/>
    <w:rsid w:val="00D97884"/>
    <w:rsid w:val="00D97C79"/>
    <w:rsid w:val="00D97F43"/>
    <w:rsid w:val="00DA05E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0B7A"/>
    <w:rsid w:val="00DB0C2D"/>
    <w:rsid w:val="00DB11F8"/>
    <w:rsid w:val="00DB14A0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BBB"/>
    <w:rsid w:val="00DB6ED8"/>
    <w:rsid w:val="00DB7EA8"/>
    <w:rsid w:val="00DC1301"/>
    <w:rsid w:val="00DC1327"/>
    <w:rsid w:val="00DC1350"/>
    <w:rsid w:val="00DC1518"/>
    <w:rsid w:val="00DC2F47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52"/>
    <w:rsid w:val="00DD12C5"/>
    <w:rsid w:val="00DD1FE6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6D8"/>
    <w:rsid w:val="00DD6D4E"/>
    <w:rsid w:val="00DD79A6"/>
    <w:rsid w:val="00DD7BF5"/>
    <w:rsid w:val="00DE0443"/>
    <w:rsid w:val="00DE068C"/>
    <w:rsid w:val="00DE0E59"/>
    <w:rsid w:val="00DE0F6C"/>
    <w:rsid w:val="00DE12F0"/>
    <w:rsid w:val="00DE18E9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2BA1"/>
    <w:rsid w:val="00E13D40"/>
    <w:rsid w:val="00E14784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194"/>
    <w:rsid w:val="00E37DDE"/>
    <w:rsid w:val="00E40949"/>
    <w:rsid w:val="00E40C38"/>
    <w:rsid w:val="00E42428"/>
    <w:rsid w:val="00E426CB"/>
    <w:rsid w:val="00E429ED"/>
    <w:rsid w:val="00E43BB9"/>
    <w:rsid w:val="00E43F37"/>
    <w:rsid w:val="00E441E6"/>
    <w:rsid w:val="00E446A7"/>
    <w:rsid w:val="00E450ED"/>
    <w:rsid w:val="00E4592B"/>
    <w:rsid w:val="00E45C4B"/>
    <w:rsid w:val="00E46C47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005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1CCE"/>
    <w:rsid w:val="00E6277B"/>
    <w:rsid w:val="00E62C8D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CDC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6D08"/>
    <w:rsid w:val="00E9705E"/>
    <w:rsid w:val="00E97648"/>
    <w:rsid w:val="00EA07E9"/>
    <w:rsid w:val="00EA0E4A"/>
    <w:rsid w:val="00EA1A2B"/>
    <w:rsid w:val="00EA1A54"/>
    <w:rsid w:val="00EA2226"/>
    <w:rsid w:val="00EA2483"/>
    <w:rsid w:val="00EA26FC"/>
    <w:rsid w:val="00EA3B5A"/>
    <w:rsid w:val="00EA410E"/>
    <w:rsid w:val="00EA48EC"/>
    <w:rsid w:val="00EA4FD1"/>
    <w:rsid w:val="00EA51C6"/>
    <w:rsid w:val="00EA53C2"/>
    <w:rsid w:val="00EA5695"/>
    <w:rsid w:val="00EA5B0A"/>
    <w:rsid w:val="00EA5B4B"/>
    <w:rsid w:val="00EA65AD"/>
    <w:rsid w:val="00EA7B16"/>
    <w:rsid w:val="00EA7FCF"/>
    <w:rsid w:val="00EB0ADC"/>
    <w:rsid w:val="00EB0C39"/>
    <w:rsid w:val="00EB0CA3"/>
    <w:rsid w:val="00EB104F"/>
    <w:rsid w:val="00EB17F0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4D38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3C4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04B3"/>
    <w:rsid w:val="00F3125E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3CE2"/>
    <w:rsid w:val="00F541A5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352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855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25B1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1527"/>
    <w:rsid w:val="00FB1BE3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0BE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44D0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197C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0D1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8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67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4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4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64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64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4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2</cp:revision>
  <cp:lastPrinted>2007-06-18T22:08:00Z</cp:lastPrinted>
  <dcterms:created xsi:type="dcterms:W3CDTF">2022-01-11T08:13:00Z</dcterms:created>
  <dcterms:modified xsi:type="dcterms:W3CDTF">2022-01-11T08:13:00Z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